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85C9D" w14:textId="77777777" w:rsidR="002C6ACB" w:rsidRPr="00E54204" w:rsidRDefault="002C6ACB" w:rsidP="002C6ACB">
      <w:pPr>
        <w:jc w:val="center"/>
        <w:rPr>
          <w:szCs w:val="20"/>
        </w:rPr>
      </w:pPr>
      <w:r w:rsidRPr="00E54204">
        <w:rPr>
          <w:szCs w:val="20"/>
        </w:rPr>
        <w:t>FLORIDA INTERNATIONAL UNIVERSITY</w:t>
      </w:r>
    </w:p>
    <w:p w14:paraId="4FE5E2E7" w14:textId="77777777" w:rsidR="002C6ACB" w:rsidRPr="00E54204" w:rsidRDefault="002C6ACB" w:rsidP="002C6ACB">
      <w:pPr>
        <w:jc w:val="center"/>
        <w:rPr>
          <w:szCs w:val="20"/>
        </w:rPr>
      </w:pPr>
      <w:r w:rsidRPr="00E54204">
        <w:rPr>
          <w:szCs w:val="20"/>
        </w:rPr>
        <w:t>Miami, Florida</w:t>
      </w:r>
    </w:p>
    <w:p w14:paraId="413E9906" w14:textId="77777777" w:rsidR="002C6ACB" w:rsidRPr="00E54204" w:rsidRDefault="002C6ACB" w:rsidP="002C6ACB">
      <w:pPr>
        <w:jc w:val="center"/>
        <w:rPr>
          <w:szCs w:val="20"/>
        </w:rPr>
      </w:pPr>
    </w:p>
    <w:p w14:paraId="1981649B" w14:textId="77777777" w:rsidR="002C6ACB" w:rsidRPr="00E54204" w:rsidRDefault="002C6ACB" w:rsidP="002C6ACB">
      <w:pPr>
        <w:jc w:val="center"/>
        <w:rPr>
          <w:szCs w:val="20"/>
        </w:rPr>
      </w:pPr>
    </w:p>
    <w:p w14:paraId="13FD5797" w14:textId="77777777" w:rsidR="002C6ACB" w:rsidRPr="00E54204" w:rsidRDefault="002C6ACB" w:rsidP="002C6ACB">
      <w:pPr>
        <w:jc w:val="center"/>
        <w:rPr>
          <w:szCs w:val="20"/>
        </w:rPr>
      </w:pPr>
    </w:p>
    <w:p w14:paraId="7916080E" w14:textId="77777777" w:rsidR="002C6ACB" w:rsidRPr="00E54204" w:rsidRDefault="00CA3C4A" w:rsidP="002C6ACB">
      <w:pPr>
        <w:jc w:val="center"/>
        <w:rPr>
          <w:szCs w:val="20"/>
        </w:rPr>
      </w:pPr>
      <w:r w:rsidRPr="00E54204">
        <w:rPr>
          <w:szCs w:val="20"/>
        </w:rPr>
        <w:t>HEAVENLY VOICE, EARTHLY ECHO: UNRAVELING THE FUNCTION</w:t>
      </w:r>
      <w:r w:rsidR="00C56B1F" w:rsidRPr="00E54204">
        <w:rPr>
          <w:szCs w:val="20"/>
        </w:rPr>
        <w:t xml:space="preserve"> OF THE </w:t>
      </w:r>
      <w:r w:rsidRPr="00E54204">
        <w:rPr>
          <w:szCs w:val="20"/>
        </w:rPr>
        <w:t>BAT KOL IN RABBINIC WRITINGS</w:t>
      </w:r>
    </w:p>
    <w:p w14:paraId="5D3FF6DF" w14:textId="77777777" w:rsidR="002C6ACB" w:rsidRPr="00E54204" w:rsidRDefault="002C6ACB" w:rsidP="002C6ACB">
      <w:pPr>
        <w:jc w:val="center"/>
        <w:rPr>
          <w:szCs w:val="20"/>
        </w:rPr>
      </w:pPr>
    </w:p>
    <w:p w14:paraId="79EEB787" w14:textId="77777777" w:rsidR="002C6ACB" w:rsidRPr="00E54204" w:rsidRDefault="002C6ACB" w:rsidP="002C6ACB">
      <w:pPr>
        <w:jc w:val="center"/>
        <w:rPr>
          <w:szCs w:val="20"/>
        </w:rPr>
      </w:pPr>
    </w:p>
    <w:p w14:paraId="5603B32C" w14:textId="77777777" w:rsidR="002C6ACB" w:rsidRPr="00E54204" w:rsidRDefault="002C6ACB" w:rsidP="002C6ACB">
      <w:pPr>
        <w:jc w:val="center"/>
        <w:rPr>
          <w:szCs w:val="20"/>
        </w:rPr>
      </w:pPr>
    </w:p>
    <w:p w14:paraId="66FD8602" w14:textId="77777777" w:rsidR="002C6ACB" w:rsidRPr="00E54204" w:rsidRDefault="002C6ACB" w:rsidP="002C6ACB">
      <w:pPr>
        <w:jc w:val="center"/>
        <w:rPr>
          <w:szCs w:val="20"/>
        </w:rPr>
      </w:pPr>
      <w:r w:rsidRPr="00E54204">
        <w:rPr>
          <w:szCs w:val="20"/>
        </w:rPr>
        <w:t xml:space="preserve">A thesis submitted in partial fulfillment of the </w:t>
      </w:r>
    </w:p>
    <w:p w14:paraId="270AF191" w14:textId="77777777" w:rsidR="002C6ACB" w:rsidRPr="00E54204" w:rsidRDefault="002C6ACB" w:rsidP="002C6ACB">
      <w:pPr>
        <w:jc w:val="center"/>
        <w:rPr>
          <w:szCs w:val="20"/>
        </w:rPr>
      </w:pPr>
      <w:r w:rsidRPr="00E54204">
        <w:rPr>
          <w:szCs w:val="20"/>
        </w:rPr>
        <w:t>requirements for the degree of</w:t>
      </w:r>
    </w:p>
    <w:p w14:paraId="69E1FE4C" w14:textId="77777777" w:rsidR="002C6ACB" w:rsidRPr="00E54204" w:rsidRDefault="002C6ACB" w:rsidP="002C6ACB">
      <w:pPr>
        <w:jc w:val="center"/>
        <w:rPr>
          <w:szCs w:val="20"/>
        </w:rPr>
      </w:pPr>
      <w:r w:rsidRPr="00E54204">
        <w:rPr>
          <w:szCs w:val="20"/>
        </w:rPr>
        <w:t>MASTER OF ARTS</w:t>
      </w:r>
    </w:p>
    <w:p w14:paraId="1DE59369" w14:textId="77777777" w:rsidR="002C6ACB" w:rsidRPr="00E54204" w:rsidRDefault="002C6ACB" w:rsidP="002C6ACB">
      <w:pPr>
        <w:jc w:val="center"/>
        <w:rPr>
          <w:szCs w:val="20"/>
        </w:rPr>
      </w:pPr>
      <w:r w:rsidRPr="00E54204">
        <w:rPr>
          <w:szCs w:val="20"/>
        </w:rPr>
        <w:t>in</w:t>
      </w:r>
    </w:p>
    <w:p w14:paraId="0B54E8E8" w14:textId="77777777" w:rsidR="002C6ACB" w:rsidRPr="00E54204" w:rsidRDefault="002C6ACB" w:rsidP="002C6ACB">
      <w:pPr>
        <w:jc w:val="center"/>
        <w:rPr>
          <w:szCs w:val="20"/>
        </w:rPr>
      </w:pPr>
      <w:r w:rsidRPr="00E54204">
        <w:rPr>
          <w:szCs w:val="20"/>
        </w:rPr>
        <w:t>RELIGIOUS STUDIES</w:t>
      </w:r>
    </w:p>
    <w:p w14:paraId="5377C3E1" w14:textId="77777777" w:rsidR="002C6ACB" w:rsidRPr="00E54204" w:rsidRDefault="002C6ACB" w:rsidP="002C6ACB">
      <w:pPr>
        <w:jc w:val="center"/>
        <w:rPr>
          <w:szCs w:val="20"/>
        </w:rPr>
      </w:pPr>
      <w:r w:rsidRPr="00E54204">
        <w:rPr>
          <w:szCs w:val="20"/>
        </w:rPr>
        <w:t>by</w:t>
      </w:r>
    </w:p>
    <w:p w14:paraId="34A26009" w14:textId="77777777" w:rsidR="002C6ACB" w:rsidRPr="00E54204" w:rsidRDefault="003544F6" w:rsidP="002C6ACB">
      <w:pPr>
        <w:jc w:val="center"/>
        <w:rPr>
          <w:szCs w:val="20"/>
        </w:rPr>
      </w:pPr>
      <w:r w:rsidRPr="00E54204">
        <w:rPr>
          <w:szCs w:val="20"/>
        </w:rPr>
        <w:t>John David</w:t>
      </w:r>
      <w:r w:rsidR="002C6ACB" w:rsidRPr="00E54204">
        <w:rPr>
          <w:szCs w:val="20"/>
        </w:rPr>
        <w:t xml:space="preserve"> Grullon</w:t>
      </w:r>
    </w:p>
    <w:p w14:paraId="544B162E" w14:textId="77777777" w:rsidR="002C6ACB" w:rsidRPr="00E54204" w:rsidRDefault="002C6ACB" w:rsidP="002C6ACB">
      <w:pPr>
        <w:jc w:val="center"/>
        <w:rPr>
          <w:szCs w:val="20"/>
        </w:rPr>
      </w:pPr>
    </w:p>
    <w:p w14:paraId="5F9EC58A" w14:textId="77777777" w:rsidR="002C6ACB" w:rsidRPr="00E54204" w:rsidRDefault="002C6ACB" w:rsidP="002C6ACB">
      <w:pPr>
        <w:jc w:val="center"/>
        <w:rPr>
          <w:szCs w:val="20"/>
        </w:rPr>
      </w:pPr>
      <w:r w:rsidRPr="00E54204">
        <w:rPr>
          <w:szCs w:val="20"/>
        </w:rPr>
        <w:t>2016</w:t>
      </w:r>
    </w:p>
    <w:p w14:paraId="690D2F60" w14:textId="77777777" w:rsidR="002C6ACB" w:rsidRPr="00E54204" w:rsidRDefault="002C6ACB" w:rsidP="002C6ACB">
      <w:pPr>
        <w:jc w:val="center"/>
        <w:rPr>
          <w:szCs w:val="20"/>
        </w:rPr>
      </w:pPr>
    </w:p>
    <w:p w14:paraId="39DF5376" w14:textId="77777777" w:rsidR="002C6ACB" w:rsidRPr="00E54204" w:rsidRDefault="002C6ACB" w:rsidP="002C6ACB">
      <w:pPr>
        <w:jc w:val="center"/>
        <w:rPr>
          <w:szCs w:val="20"/>
        </w:rPr>
      </w:pPr>
    </w:p>
    <w:p w14:paraId="4791AAB0" w14:textId="77777777" w:rsidR="002C6ACB" w:rsidRPr="00E54204" w:rsidRDefault="002C6ACB" w:rsidP="002C6ACB">
      <w:pPr>
        <w:jc w:val="center"/>
        <w:rPr>
          <w:szCs w:val="20"/>
        </w:rPr>
      </w:pPr>
    </w:p>
    <w:p w14:paraId="3A4DED17" w14:textId="77777777" w:rsidR="002C6ACB" w:rsidRPr="00E54204" w:rsidRDefault="002C6ACB" w:rsidP="002C6ACB">
      <w:pPr>
        <w:jc w:val="center"/>
        <w:rPr>
          <w:szCs w:val="20"/>
        </w:rPr>
      </w:pPr>
    </w:p>
    <w:p w14:paraId="5A8D6C50" w14:textId="77777777" w:rsidR="002C6ACB" w:rsidRPr="00E54204" w:rsidRDefault="00AF3489" w:rsidP="003544F6">
      <w:pPr>
        <w:spacing w:line="240" w:lineRule="auto"/>
        <w:rPr>
          <w:szCs w:val="20"/>
        </w:rPr>
      </w:pPr>
      <w:r w:rsidRPr="00E54204">
        <w:rPr>
          <w:szCs w:val="20"/>
        </w:rPr>
        <w:lastRenderedPageBreak/>
        <w:t xml:space="preserve">To: </w:t>
      </w:r>
      <w:r w:rsidR="003544F6" w:rsidRPr="00E54204">
        <w:rPr>
          <w:szCs w:val="20"/>
        </w:rPr>
        <w:t xml:space="preserve"> </w:t>
      </w:r>
      <w:r w:rsidRPr="00E54204">
        <w:rPr>
          <w:szCs w:val="20"/>
        </w:rPr>
        <w:t>Dean John Stack</w:t>
      </w:r>
    </w:p>
    <w:p w14:paraId="7E81148C" w14:textId="77777777" w:rsidR="002C6ACB" w:rsidRPr="00E54204" w:rsidRDefault="003544F6" w:rsidP="003544F6">
      <w:pPr>
        <w:spacing w:line="240" w:lineRule="auto"/>
        <w:rPr>
          <w:szCs w:val="20"/>
        </w:rPr>
      </w:pPr>
      <w:r w:rsidRPr="00E54204">
        <w:rPr>
          <w:szCs w:val="20"/>
        </w:rPr>
        <w:t xml:space="preserve">     </w:t>
      </w:r>
      <w:r w:rsidR="00B144B6" w:rsidRPr="00E54204">
        <w:rPr>
          <w:szCs w:val="20"/>
        </w:rPr>
        <w:t xml:space="preserve">   </w:t>
      </w:r>
      <w:r w:rsidR="002C6ACB" w:rsidRPr="00E54204">
        <w:rPr>
          <w:szCs w:val="20"/>
        </w:rPr>
        <w:t>S</w:t>
      </w:r>
      <w:r w:rsidRPr="00E54204">
        <w:rPr>
          <w:szCs w:val="20"/>
        </w:rPr>
        <w:t>chool of International</w:t>
      </w:r>
      <w:r w:rsidR="002C6ACB" w:rsidRPr="00E54204">
        <w:rPr>
          <w:szCs w:val="20"/>
        </w:rPr>
        <w:t xml:space="preserve"> and Public Affairs</w:t>
      </w:r>
    </w:p>
    <w:p w14:paraId="38FE36BF" w14:textId="77777777" w:rsidR="003544F6" w:rsidRPr="00E54204" w:rsidRDefault="003544F6" w:rsidP="003544F6">
      <w:pPr>
        <w:spacing w:line="240" w:lineRule="auto"/>
        <w:rPr>
          <w:szCs w:val="20"/>
        </w:rPr>
      </w:pPr>
    </w:p>
    <w:p w14:paraId="0B8708D8" w14:textId="77777777" w:rsidR="002C6ACB" w:rsidRPr="00E54204" w:rsidRDefault="00065C60" w:rsidP="003544F6">
      <w:pPr>
        <w:spacing w:line="240" w:lineRule="auto"/>
        <w:rPr>
          <w:szCs w:val="20"/>
        </w:rPr>
      </w:pPr>
      <w:r w:rsidRPr="00E54204">
        <w:rPr>
          <w:szCs w:val="20"/>
        </w:rPr>
        <w:t>This thesis, written by John David</w:t>
      </w:r>
      <w:r w:rsidR="002C6ACB" w:rsidRPr="00E54204">
        <w:rPr>
          <w:szCs w:val="20"/>
        </w:rPr>
        <w:t xml:space="preserve"> Grullon, and entitled</w:t>
      </w:r>
      <w:r w:rsidR="00CA3C4A" w:rsidRPr="00E54204">
        <w:rPr>
          <w:szCs w:val="20"/>
        </w:rPr>
        <w:t xml:space="preserve"> Heavenly Voice, Earthly Echo: Unraveling the Function</w:t>
      </w:r>
      <w:r w:rsidR="002C6ACB" w:rsidRPr="00E54204">
        <w:rPr>
          <w:szCs w:val="20"/>
        </w:rPr>
        <w:t xml:space="preserve"> of the Bat Kol</w:t>
      </w:r>
      <w:r w:rsidR="002C6ACB" w:rsidRPr="00E54204">
        <w:rPr>
          <w:i/>
          <w:szCs w:val="20"/>
        </w:rPr>
        <w:t xml:space="preserve"> </w:t>
      </w:r>
      <w:r w:rsidR="00CA3C4A" w:rsidRPr="00E54204">
        <w:rPr>
          <w:szCs w:val="20"/>
        </w:rPr>
        <w:t>in the Rabbinic Writings</w:t>
      </w:r>
      <w:r w:rsidR="002C6ACB" w:rsidRPr="00E54204">
        <w:rPr>
          <w:szCs w:val="20"/>
        </w:rPr>
        <w:t>, having been approved in respect to style and intellectual content, is referred to you for judgment.</w:t>
      </w:r>
    </w:p>
    <w:p w14:paraId="566AF692" w14:textId="77777777" w:rsidR="003544F6" w:rsidRPr="00E54204" w:rsidRDefault="003544F6" w:rsidP="003544F6">
      <w:pPr>
        <w:spacing w:line="240" w:lineRule="auto"/>
        <w:rPr>
          <w:szCs w:val="20"/>
        </w:rPr>
      </w:pPr>
    </w:p>
    <w:p w14:paraId="60823067" w14:textId="77777777" w:rsidR="002C6ACB" w:rsidRPr="00E54204" w:rsidRDefault="002C6ACB" w:rsidP="00094DCA">
      <w:pPr>
        <w:spacing w:line="240" w:lineRule="auto"/>
        <w:rPr>
          <w:szCs w:val="20"/>
        </w:rPr>
      </w:pPr>
      <w:r w:rsidRPr="00E54204">
        <w:rPr>
          <w:szCs w:val="20"/>
        </w:rPr>
        <w:t>We have read this thesis and recommend that it be approved.</w:t>
      </w:r>
    </w:p>
    <w:p w14:paraId="7D87D8CC" w14:textId="77777777" w:rsidR="002C6ACB" w:rsidRPr="00E54204" w:rsidRDefault="002C6ACB" w:rsidP="00094DCA">
      <w:pPr>
        <w:spacing w:line="240" w:lineRule="auto"/>
        <w:rPr>
          <w:szCs w:val="20"/>
        </w:rPr>
      </w:pPr>
    </w:p>
    <w:p w14:paraId="5F951433" w14:textId="77777777" w:rsidR="00094DCA" w:rsidRPr="00E54204" w:rsidRDefault="002C6ACB" w:rsidP="00094DCA">
      <w:pPr>
        <w:spacing w:line="240" w:lineRule="auto"/>
        <w:jc w:val="right"/>
        <w:rPr>
          <w:szCs w:val="20"/>
        </w:rPr>
      </w:pPr>
      <w:r w:rsidRPr="00E54204">
        <w:rPr>
          <w:szCs w:val="20"/>
        </w:rPr>
        <w:tab/>
      </w:r>
    </w:p>
    <w:p w14:paraId="7534DFBC" w14:textId="77777777" w:rsidR="002C6ACB" w:rsidRPr="00E54204" w:rsidRDefault="00E25AC5" w:rsidP="00094DCA">
      <w:pPr>
        <w:spacing w:line="240" w:lineRule="auto"/>
        <w:jc w:val="right"/>
        <w:rPr>
          <w:szCs w:val="20"/>
        </w:rPr>
      </w:pPr>
      <w:r w:rsidRPr="00E54204">
        <w:rPr>
          <w:szCs w:val="20"/>
        </w:rPr>
        <w:t>_</w:t>
      </w:r>
      <w:r w:rsidR="002C6ACB" w:rsidRPr="00E54204">
        <w:rPr>
          <w:szCs w:val="20"/>
        </w:rPr>
        <w:t>________</w:t>
      </w:r>
      <w:r w:rsidR="003544F6" w:rsidRPr="00E54204">
        <w:rPr>
          <w:szCs w:val="20"/>
        </w:rPr>
        <w:t>______________________________</w:t>
      </w:r>
    </w:p>
    <w:p w14:paraId="08782F21" w14:textId="77777777" w:rsidR="002C6ACB" w:rsidRPr="00E54204" w:rsidRDefault="002C6ACB" w:rsidP="00094DCA">
      <w:pPr>
        <w:spacing w:line="240" w:lineRule="auto"/>
        <w:jc w:val="right"/>
        <w:rPr>
          <w:szCs w:val="20"/>
        </w:rPr>
      </w:pPr>
      <w:r w:rsidRPr="00E54204">
        <w:rPr>
          <w:szCs w:val="20"/>
        </w:rPr>
        <w:t>Tudor Parfitt</w:t>
      </w:r>
    </w:p>
    <w:p w14:paraId="05B4B3F9" w14:textId="77777777" w:rsidR="002C6ACB" w:rsidRPr="00E54204" w:rsidRDefault="002C6ACB" w:rsidP="002C6ACB">
      <w:pPr>
        <w:spacing w:line="240" w:lineRule="auto"/>
        <w:jc w:val="right"/>
        <w:rPr>
          <w:szCs w:val="20"/>
        </w:rPr>
      </w:pPr>
    </w:p>
    <w:p w14:paraId="006906AB" w14:textId="77777777" w:rsidR="003544F6" w:rsidRPr="00E54204" w:rsidRDefault="003544F6" w:rsidP="002C6ACB">
      <w:pPr>
        <w:spacing w:line="240" w:lineRule="auto"/>
        <w:rPr>
          <w:szCs w:val="20"/>
        </w:rPr>
      </w:pPr>
      <w:r w:rsidRPr="00E54204">
        <w:rPr>
          <w:szCs w:val="20"/>
        </w:rPr>
        <w:tab/>
      </w:r>
    </w:p>
    <w:p w14:paraId="58316BDE" w14:textId="77777777" w:rsidR="003544F6" w:rsidRPr="00E54204" w:rsidRDefault="003544F6" w:rsidP="002C6ACB">
      <w:pPr>
        <w:spacing w:line="240" w:lineRule="auto"/>
        <w:rPr>
          <w:szCs w:val="20"/>
        </w:rPr>
      </w:pPr>
    </w:p>
    <w:p w14:paraId="7B0401C2" w14:textId="77777777" w:rsidR="002C6ACB" w:rsidRPr="00E54204" w:rsidRDefault="00E25AC5" w:rsidP="003544F6">
      <w:pPr>
        <w:spacing w:line="240" w:lineRule="auto"/>
        <w:jc w:val="right"/>
        <w:rPr>
          <w:szCs w:val="20"/>
        </w:rPr>
      </w:pPr>
      <w:r w:rsidRPr="00E54204">
        <w:rPr>
          <w:szCs w:val="20"/>
        </w:rPr>
        <w:t>_</w:t>
      </w:r>
      <w:r w:rsidR="003544F6" w:rsidRPr="00E54204">
        <w:rPr>
          <w:szCs w:val="20"/>
        </w:rPr>
        <w:t>______________________________________</w:t>
      </w:r>
    </w:p>
    <w:p w14:paraId="63C45D18" w14:textId="77777777" w:rsidR="002C6ACB" w:rsidRPr="00E54204" w:rsidRDefault="002C6ACB" w:rsidP="002C6ACB">
      <w:pPr>
        <w:spacing w:line="240" w:lineRule="auto"/>
        <w:jc w:val="right"/>
        <w:rPr>
          <w:szCs w:val="20"/>
        </w:rPr>
      </w:pPr>
      <w:r w:rsidRPr="00E54204">
        <w:rPr>
          <w:szCs w:val="20"/>
        </w:rPr>
        <w:t>Oren Stier</w:t>
      </w:r>
    </w:p>
    <w:p w14:paraId="7F345807" w14:textId="77777777" w:rsidR="002C6ACB" w:rsidRPr="00E54204" w:rsidRDefault="002C6ACB" w:rsidP="002C6ACB">
      <w:pPr>
        <w:spacing w:line="240" w:lineRule="auto"/>
        <w:jc w:val="right"/>
        <w:rPr>
          <w:szCs w:val="20"/>
        </w:rPr>
      </w:pPr>
    </w:p>
    <w:p w14:paraId="1621FD7B" w14:textId="77777777" w:rsidR="003544F6" w:rsidRPr="00E54204" w:rsidRDefault="003544F6" w:rsidP="002C6ACB">
      <w:pPr>
        <w:spacing w:line="240" w:lineRule="auto"/>
        <w:rPr>
          <w:szCs w:val="20"/>
        </w:rPr>
      </w:pPr>
    </w:p>
    <w:p w14:paraId="310611C1" w14:textId="77777777" w:rsidR="003544F6" w:rsidRPr="00E54204" w:rsidRDefault="003544F6" w:rsidP="002C6ACB">
      <w:pPr>
        <w:spacing w:line="240" w:lineRule="auto"/>
        <w:rPr>
          <w:szCs w:val="20"/>
        </w:rPr>
      </w:pPr>
    </w:p>
    <w:p w14:paraId="50E3EA2F" w14:textId="77777777" w:rsidR="003544F6" w:rsidRPr="00E54204" w:rsidRDefault="00E25AC5" w:rsidP="003544F6">
      <w:pPr>
        <w:spacing w:line="240" w:lineRule="auto"/>
        <w:jc w:val="right"/>
        <w:rPr>
          <w:szCs w:val="20"/>
        </w:rPr>
      </w:pPr>
      <w:r w:rsidRPr="00E54204">
        <w:rPr>
          <w:szCs w:val="20"/>
        </w:rPr>
        <w:t>__</w:t>
      </w:r>
      <w:r w:rsidR="003544F6" w:rsidRPr="00E54204">
        <w:rPr>
          <w:szCs w:val="20"/>
        </w:rPr>
        <w:t>_____________________________________</w:t>
      </w:r>
    </w:p>
    <w:p w14:paraId="529BFB71" w14:textId="77777777" w:rsidR="002C6ACB" w:rsidRPr="00E54204" w:rsidRDefault="002C6ACB" w:rsidP="00094DCA">
      <w:pPr>
        <w:spacing w:line="240" w:lineRule="auto"/>
        <w:jc w:val="right"/>
        <w:rPr>
          <w:szCs w:val="20"/>
        </w:rPr>
      </w:pPr>
      <w:r w:rsidRPr="00E54204">
        <w:rPr>
          <w:szCs w:val="20"/>
        </w:rPr>
        <w:t>Erik Larson, Major Professor</w:t>
      </w:r>
    </w:p>
    <w:p w14:paraId="450A0D3F" w14:textId="77777777" w:rsidR="002C6ACB" w:rsidRPr="00E54204" w:rsidRDefault="002C6ACB" w:rsidP="00094DCA">
      <w:pPr>
        <w:spacing w:line="240" w:lineRule="auto"/>
        <w:jc w:val="right"/>
        <w:rPr>
          <w:szCs w:val="20"/>
        </w:rPr>
      </w:pPr>
    </w:p>
    <w:p w14:paraId="2DAAF2A5" w14:textId="77777777" w:rsidR="003544F6" w:rsidRPr="00E54204" w:rsidRDefault="003544F6" w:rsidP="00094DCA">
      <w:pPr>
        <w:spacing w:line="240" w:lineRule="auto"/>
        <w:rPr>
          <w:szCs w:val="20"/>
        </w:rPr>
      </w:pPr>
    </w:p>
    <w:p w14:paraId="122B65BB" w14:textId="77777777" w:rsidR="002C6ACB" w:rsidRPr="00E54204" w:rsidRDefault="002C6ACB" w:rsidP="00094DCA">
      <w:pPr>
        <w:spacing w:line="240" w:lineRule="auto"/>
        <w:rPr>
          <w:szCs w:val="20"/>
        </w:rPr>
      </w:pPr>
      <w:r w:rsidRPr="00E54204">
        <w:rPr>
          <w:szCs w:val="20"/>
        </w:rPr>
        <w:t>Date of Defense: March 30, 2016</w:t>
      </w:r>
    </w:p>
    <w:p w14:paraId="25EA7CD8" w14:textId="77777777" w:rsidR="00094DCA" w:rsidRPr="00E54204" w:rsidRDefault="00094DCA" w:rsidP="00094DCA">
      <w:pPr>
        <w:spacing w:line="240" w:lineRule="auto"/>
        <w:rPr>
          <w:szCs w:val="20"/>
        </w:rPr>
      </w:pPr>
    </w:p>
    <w:p w14:paraId="2FC43001" w14:textId="77777777" w:rsidR="002C6ACB" w:rsidRPr="00E54204" w:rsidRDefault="003544F6" w:rsidP="00094DCA">
      <w:pPr>
        <w:spacing w:line="240" w:lineRule="auto"/>
        <w:rPr>
          <w:szCs w:val="20"/>
        </w:rPr>
      </w:pPr>
      <w:r w:rsidRPr="00E54204">
        <w:rPr>
          <w:szCs w:val="20"/>
        </w:rPr>
        <w:t>The thesis of John David</w:t>
      </w:r>
      <w:r w:rsidR="002C6ACB" w:rsidRPr="00E54204">
        <w:rPr>
          <w:szCs w:val="20"/>
        </w:rPr>
        <w:t xml:space="preserve"> Grullon is approved.</w:t>
      </w:r>
    </w:p>
    <w:p w14:paraId="14725F6C" w14:textId="77777777" w:rsidR="00E25AC5" w:rsidRPr="00E54204" w:rsidRDefault="00E25AC5" w:rsidP="00E25AC5">
      <w:pPr>
        <w:spacing w:line="240" w:lineRule="auto"/>
        <w:jc w:val="right"/>
        <w:rPr>
          <w:szCs w:val="20"/>
        </w:rPr>
      </w:pPr>
    </w:p>
    <w:p w14:paraId="02C36989" w14:textId="77777777" w:rsidR="00E25AC5" w:rsidRPr="00E54204" w:rsidRDefault="00E25AC5" w:rsidP="00E25AC5">
      <w:pPr>
        <w:spacing w:line="240" w:lineRule="auto"/>
        <w:jc w:val="right"/>
        <w:rPr>
          <w:szCs w:val="20"/>
        </w:rPr>
      </w:pPr>
    </w:p>
    <w:p w14:paraId="1DB46232" w14:textId="77777777" w:rsidR="002C6ACB" w:rsidRPr="00E54204" w:rsidRDefault="002C6ACB" w:rsidP="00E25AC5">
      <w:pPr>
        <w:spacing w:line="240" w:lineRule="auto"/>
        <w:jc w:val="right"/>
        <w:rPr>
          <w:szCs w:val="20"/>
        </w:rPr>
      </w:pPr>
      <w:r w:rsidRPr="00E54204">
        <w:rPr>
          <w:szCs w:val="20"/>
        </w:rPr>
        <w:t>________</w:t>
      </w:r>
      <w:r w:rsidR="00E25AC5" w:rsidRPr="00E54204">
        <w:rPr>
          <w:szCs w:val="20"/>
        </w:rPr>
        <w:t>_______________________________</w:t>
      </w:r>
    </w:p>
    <w:p w14:paraId="2C27DF33" w14:textId="77777777" w:rsidR="002C6ACB" w:rsidRPr="00E54204" w:rsidRDefault="00AF3489" w:rsidP="00AF3489">
      <w:pPr>
        <w:spacing w:line="240" w:lineRule="auto"/>
        <w:jc w:val="right"/>
        <w:rPr>
          <w:szCs w:val="20"/>
        </w:rPr>
      </w:pPr>
      <w:r w:rsidRPr="00E54204">
        <w:rPr>
          <w:szCs w:val="20"/>
        </w:rPr>
        <w:t>Dean John Stack</w:t>
      </w:r>
    </w:p>
    <w:p w14:paraId="10AA7981" w14:textId="77777777" w:rsidR="002C6ACB" w:rsidRPr="00E54204" w:rsidRDefault="002C6ACB" w:rsidP="00E25AC5">
      <w:pPr>
        <w:spacing w:line="240" w:lineRule="auto"/>
        <w:jc w:val="right"/>
        <w:rPr>
          <w:szCs w:val="20"/>
        </w:rPr>
      </w:pPr>
      <w:r w:rsidRPr="00E54204">
        <w:rPr>
          <w:szCs w:val="20"/>
        </w:rPr>
        <w:t>Sc</w:t>
      </w:r>
      <w:r w:rsidR="00AF3489" w:rsidRPr="00E54204">
        <w:rPr>
          <w:szCs w:val="20"/>
        </w:rPr>
        <w:t xml:space="preserve">hool of International </w:t>
      </w:r>
      <w:r w:rsidRPr="00E54204">
        <w:rPr>
          <w:szCs w:val="20"/>
        </w:rPr>
        <w:t>and Public Affairs</w:t>
      </w:r>
    </w:p>
    <w:p w14:paraId="7703F265" w14:textId="77777777" w:rsidR="002C6ACB" w:rsidRPr="00E54204" w:rsidRDefault="002C6ACB" w:rsidP="00E25AC5">
      <w:pPr>
        <w:spacing w:line="240" w:lineRule="auto"/>
        <w:jc w:val="right"/>
        <w:rPr>
          <w:szCs w:val="20"/>
        </w:rPr>
      </w:pPr>
    </w:p>
    <w:p w14:paraId="6D771728" w14:textId="77777777" w:rsidR="00E25AC5" w:rsidRPr="00E54204" w:rsidRDefault="00E25AC5" w:rsidP="00E25AC5">
      <w:pPr>
        <w:spacing w:line="240" w:lineRule="auto"/>
        <w:jc w:val="right"/>
        <w:rPr>
          <w:szCs w:val="20"/>
        </w:rPr>
      </w:pPr>
    </w:p>
    <w:p w14:paraId="0CC04D26" w14:textId="77777777" w:rsidR="00E25AC5" w:rsidRPr="00E54204" w:rsidRDefault="00E25AC5" w:rsidP="00E25AC5">
      <w:pPr>
        <w:spacing w:line="240" w:lineRule="auto"/>
        <w:jc w:val="right"/>
        <w:rPr>
          <w:szCs w:val="20"/>
        </w:rPr>
      </w:pPr>
    </w:p>
    <w:p w14:paraId="485C68C5" w14:textId="77777777" w:rsidR="002C6ACB" w:rsidRPr="00E54204" w:rsidRDefault="002C6ACB" w:rsidP="00E25AC5">
      <w:pPr>
        <w:spacing w:line="240" w:lineRule="auto"/>
        <w:jc w:val="right"/>
        <w:rPr>
          <w:szCs w:val="20"/>
        </w:rPr>
      </w:pPr>
      <w:r w:rsidRPr="00E54204">
        <w:rPr>
          <w:szCs w:val="20"/>
        </w:rPr>
        <w:t>________</w:t>
      </w:r>
      <w:r w:rsidR="00E25AC5" w:rsidRPr="00E54204">
        <w:rPr>
          <w:szCs w:val="20"/>
        </w:rPr>
        <w:t>_______________________________</w:t>
      </w:r>
    </w:p>
    <w:p w14:paraId="1C2C2FBA" w14:textId="77777777" w:rsidR="002C6ACB" w:rsidRPr="00E54204" w:rsidRDefault="002C6ACB" w:rsidP="00AF3489">
      <w:pPr>
        <w:spacing w:line="240" w:lineRule="auto"/>
        <w:jc w:val="right"/>
        <w:rPr>
          <w:szCs w:val="20"/>
        </w:rPr>
      </w:pPr>
      <w:r w:rsidRPr="00E54204">
        <w:rPr>
          <w:szCs w:val="20"/>
        </w:rPr>
        <w:t xml:space="preserve"> Andr</w:t>
      </w:r>
      <w:r w:rsidRPr="00E54204">
        <w:rPr>
          <w:rFonts w:cs="Times New Roman"/>
          <w:szCs w:val="20"/>
        </w:rPr>
        <w:t>é</w:t>
      </w:r>
      <w:r w:rsidRPr="00E54204">
        <w:rPr>
          <w:szCs w:val="20"/>
        </w:rPr>
        <w:t>s G. Gil</w:t>
      </w:r>
    </w:p>
    <w:p w14:paraId="662FA419" w14:textId="77777777" w:rsidR="00AF3489" w:rsidRPr="00E54204" w:rsidRDefault="00AF3489" w:rsidP="00AF3489">
      <w:pPr>
        <w:spacing w:line="240" w:lineRule="auto"/>
        <w:jc w:val="right"/>
        <w:rPr>
          <w:szCs w:val="20"/>
        </w:rPr>
      </w:pPr>
      <w:r w:rsidRPr="00E54204">
        <w:rPr>
          <w:szCs w:val="20"/>
        </w:rPr>
        <w:t xml:space="preserve">Vice President for Research and Economic Development </w:t>
      </w:r>
    </w:p>
    <w:p w14:paraId="4CB72F65" w14:textId="77777777" w:rsidR="002C6ACB" w:rsidRPr="00E54204" w:rsidRDefault="00AF3489" w:rsidP="00AF3489">
      <w:pPr>
        <w:spacing w:line="240" w:lineRule="auto"/>
        <w:jc w:val="right"/>
        <w:rPr>
          <w:szCs w:val="20"/>
        </w:rPr>
      </w:pPr>
      <w:r w:rsidRPr="00E54204">
        <w:rPr>
          <w:szCs w:val="20"/>
        </w:rPr>
        <w:t xml:space="preserve">and Dean of the </w:t>
      </w:r>
      <w:r w:rsidR="002C6ACB" w:rsidRPr="00E54204">
        <w:rPr>
          <w:szCs w:val="20"/>
        </w:rPr>
        <w:t>University Graduate School</w:t>
      </w:r>
    </w:p>
    <w:p w14:paraId="2AA20724" w14:textId="77777777" w:rsidR="002C6ACB" w:rsidRPr="00E54204" w:rsidRDefault="002C6ACB" w:rsidP="00AB638F">
      <w:pPr>
        <w:spacing w:line="240" w:lineRule="auto"/>
        <w:jc w:val="right"/>
        <w:rPr>
          <w:szCs w:val="20"/>
        </w:rPr>
      </w:pPr>
    </w:p>
    <w:p w14:paraId="24F8B491" w14:textId="77777777" w:rsidR="00481F09" w:rsidRPr="00E54204" w:rsidRDefault="00481F09" w:rsidP="00AB638F">
      <w:pPr>
        <w:spacing w:line="240" w:lineRule="auto"/>
        <w:jc w:val="center"/>
        <w:rPr>
          <w:szCs w:val="20"/>
        </w:rPr>
      </w:pPr>
    </w:p>
    <w:p w14:paraId="7433D2E6" w14:textId="77777777" w:rsidR="00AB638F" w:rsidRPr="00E54204" w:rsidRDefault="00AB638F" w:rsidP="00AB638F">
      <w:pPr>
        <w:spacing w:line="240" w:lineRule="auto"/>
        <w:jc w:val="center"/>
        <w:rPr>
          <w:szCs w:val="20"/>
        </w:rPr>
      </w:pPr>
    </w:p>
    <w:p w14:paraId="032EB28D" w14:textId="77777777" w:rsidR="00AB638F" w:rsidRPr="00E54204" w:rsidRDefault="00AB638F" w:rsidP="00AB638F">
      <w:pPr>
        <w:spacing w:line="240" w:lineRule="auto"/>
        <w:jc w:val="center"/>
        <w:rPr>
          <w:szCs w:val="20"/>
        </w:rPr>
      </w:pPr>
    </w:p>
    <w:p w14:paraId="31847B67" w14:textId="77777777" w:rsidR="00AF3489" w:rsidRPr="00E54204" w:rsidRDefault="002C6ACB" w:rsidP="00AB638F">
      <w:pPr>
        <w:spacing w:line="240" w:lineRule="auto"/>
        <w:jc w:val="center"/>
        <w:rPr>
          <w:szCs w:val="20"/>
        </w:rPr>
      </w:pPr>
      <w:r w:rsidRPr="00E54204">
        <w:rPr>
          <w:szCs w:val="20"/>
        </w:rPr>
        <w:t>Florida International University, 2016</w:t>
      </w:r>
    </w:p>
    <w:p w14:paraId="427EF064" w14:textId="77777777" w:rsidR="00AB638F" w:rsidRPr="00E54204" w:rsidRDefault="00AB638F" w:rsidP="00094DCA">
      <w:pPr>
        <w:spacing w:line="240" w:lineRule="auto"/>
        <w:jc w:val="center"/>
        <w:rPr>
          <w:szCs w:val="20"/>
        </w:rPr>
      </w:pPr>
    </w:p>
    <w:p w14:paraId="1AD9123C" w14:textId="77777777" w:rsidR="001C447D" w:rsidRPr="00E54204" w:rsidRDefault="001C447D" w:rsidP="00336B7B">
      <w:pPr>
        <w:jc w:val="center"/>
        <w:rPr>
          <w:szCs w:val="20"/>
        </w:rPr>
      </w:pPr>
    </w:p>
    <w:p w14:paraId="149D3C79" w14:textId="77777777" w:rsidR="001C447D" w:rsidRPr="00E54204" w:rsidRDefault="001C447D" w:rsidP="00336B7B">
      <w:pPr>
        <w:jc w:val="center"/>
        <w:rPr>
          <w:szCs w:val="20"/>
        </w:rPr>
      </w:pPr>
    </w:p>
    <w:p w14:paraId="6F25BC08" w14:textId="77777777" w:rsidR="001C447D" w:rsidRPr="00E54204" w:rsidRDefault="001C447D" w:rsidP="00336B7B">
      <w:pPr>
        <w:jc w:val="center"/>
        <w:rPr>
          <w:szCs w:val="20"/>
        </w:rPr>
      </w:pPr>
    </w:p>
    <w:p w14:paraId="15AB6317" w14:textId="77777777" w:rsidR="001C447D" w:rsidRPr="00E54204" w:rsidRDefault="001C447D" w:rsidP="00336B7B">
      <w:pPr>
        <w:jc w:val="center"/>
        <w:rPr>
          <w:szCs w:val="20"/>
        </w:rPr>
      </w:pPr>
    </w:p>
    <w:p w14:paraId="6B051749" w14:textId="77777777" w:rsidR="001C447D" w:rsidRPr="00E54204" w:rsidRDefault="001C447D" w:rsidP="00336B7B">
      <w:pPr>
        <w:jc w:val="center"/>
        <w:rPr>
          <w:szCs w:val="20"/>
        </w:rPr>
      </w:pPr>
    </w:p>
    <w:p w14:paraId="3D5B329F" w14:textId="77777777" w:rsidR="001C447D" w:rsidRPr="00E54204" w:rsidRDefault="001C447D" w:rsidP="00336B7B">
      <w:pPr>
        <w:jc w:val="center"/>
        <w:rPr>
          <w:szCs w:val="20"/>
        </w:rPr>
      </w:pPr>
    </w:p>
    <w:p w14:paraId="6EB1D533" w14:textId="77777777" w:rsidR="001C447D" w:rsidRPr="00E54204" w:rsidRDefault="001C447D" w:rsidP="00336B7B">
      <w:pPr>
        <w:jc w:val="center"/>
        <w:rPr>
          <w:szCs w:val="20"/>
        </w:rPr>
      </w:pPr>
    </w:p>
    <w:p w14:paraId="374D04C2" w14:textId="77777777" w:rsidR="001C447D" w:rsidRPr="00E54204" w:rsidRDefault="001C447D" w:rsidP="00336B7B">
      <w:pPr>
        <w:jc w:val="center"/>
        <w:rPr>
          <w:szCs w:val="20"/>
        </w:rPr>
      </w:pPr>
    </w:p>
    <w:p w14:paraId="20BC4A70" w14:textId="77777777" w:rsidR="001C447D" w:rsidRPr="00E54204" w:rsidRDefault="001C447D" w:rsidP="00336B7B">
      <w:pPr>
        <w:jc w:val="center"/>
        <w:rPr>
          <w:szCs w:val="20"/>
        </w:rPr>
      </w:pPr>
    </w:p>
    <w:p w14:paraId="72807ADC" w14:textId="77777777" w:rsidR="001C447D" w:rsidRPr="00E54204" w:rsidRDefault="001C447D" w:rsidP="001C447D">
      <w:pPr>
        <w:jc w:val="center"/>
        <w:rPr>
          <w:rFonts w:eastAsia="Times New Roman" w:cs="Courier New"/>
          <w:szCs w:val="24"/>
        </w:rPr>
      </w:pPr>
      <w:r w:rsidRPr="00E54204">
        <w:rPr>
          <w:rFonts w:eastAsia="Times New Roman" w:cs="Courier New"/>
          <w:szCs w:val="24"/>
        </w:rPr>
        <w:t>© Copyright 2016 by John David Grullon</w:t>
      </w:r>
    </w:p>
    <w:p w14:paraId="45F63166" w14:textId="77777777" w:rsidR="001C447D" w:rsidRPr="00E54204" w:rsidRDefault="001C447D" w:rsidP="001C447D">
      <w:pPr>
        <w:jc w:val="center"/>
        <w:rPr>
          <w:rFonts w:eastAsia="Times New Roman" w:cs="Courier New"/>
          <w:szCs w:val="24"/>
        </w:rPr>
      </w:pPr>
      <w:r w:rsidRPr="00E54204">
        <w:rPr>
          <w:rFonts w:eastAsia="Times New Roman" w:cs="Courier New"/>
          <w:szCs w:val="24"/>
        </w:rPr>
        <w:t xml:space="preserve">All rights reserved. </w:t>
      </w:r>
    </w:p>
    <w:p w14:paraId="10D1EA0D" w14:textId="77777777" w:rsidR="001C447D" w:rsidRPr="00E54204" w:rsidRDefault="001C447D" w:rsidP="00336B7B">
      <w:pPr>
        <w:jc w:val="center"/>
        <w:rPr>
          <w:szCs w:val="20"/>
        </w:rPr>
      </w:pPr>
    </w:p>
    <w:p w14:paraId="600CBFF3" w14:textId="77777777" w:rsidR="001C447D" w:rsidRPr="00E54204" w:rsidRDefault="001C447D" w:rsidP="00336B7B">
      <w:pPr>
        <w:jc w:val="center"/>
        <w:rPr>
          <w:szCs w:val="20"/>
        </w:rPr>
      </w:pPr>
    </w:p>
    <w:p w14:paraId="642CB533" w14:textId="77777777" w:rsidR="001C447D" w:rsidRPr="00E54204" w:rsidRDefault="001C447D" w:rsidP="00336B7B">
      <w:pPr>
        <w:jc w:val="center"/>
        <w:rPr>
          <w:szCs w:val="20"/>
        </w:rPr>
      </w:pPr>
    </w:p>
    <w:p w14:paraId="22306342" w14:textId="77777777" w:rsidR="001C447D" w:rsidRPr="00E54204" w:rsidRDefault="001C447D" w:rsidP="00336B7B">
      <w:pPr>
        <w:jc w:val="center"/>
        <w:rPr>
          <w:szCs w:val="20"/>
        </w:rPr>
      </w:pPr>
    </w:p>
    <w:p w14:paraId="355CACE0" w14:textId="77777777" w:rsidR="001C447D" w:rsidRPr="00E54204" w:rsidRDefault="001C447D" w:rsidP="00336B7B">
      <w:pPr>
        <w:jc w:val="center"/>
        <w:rPr>
          <w:szCs w:val="20"/>
        </w:rPr>
      </w:pPr>
    </w:p>
    <w:p w14:paraId="3F60D54E" w14:textId="77777777" w:rsidR="001C447D" w:rsidRPr="00E54204" w:rsidRDefault="001C447D" w:rsidP="00336B7B">
      <w:pPr>
        <w:jc w:val="center"/>
        <w:rPr>
          <w:szCs w:val="20"/>
        </w:rPr>
      </w:pPr>
    </w:p>
    <w:p w14:paraId="00E3F991" w14:textId="77777777" w:rsidR="001C447D" w:rsidRPr="00E54204" w:rsidRDefault="001C447D" w:rsidP="00336B7B">
      <w:pPr>
        <w:jc w:val="center"/>
        <w:rPr>
          <w:szCs w:val="20"/>
        </w:rPr>
      </w:pPr>
    </w:p>
    <w:p w14:paraId="44E9D630" w14:textId="77777777" w:rsidR="001C447D" w:rsidRPr="00E54204" w:rsidRDefault="001C447D" w:rsidP="00336B7B">
      <w:pPr>
        <w:jc w:val="center"/>
        <w:rPr>
          <w:szCs w:val="20"/>
        </w:rPr>
      </w:pPr>
    </w:p>
    <w:p w14:paraId="59CAD737" w14:textId="77777777" w:rsidR="001C447D" w:rsidRPr="00E54204" w:rsidRDefault="001C447D" w:rsidP="00336B7B">
      <w:pPr>
        <w:jc w:val="center"/>
        <w:rPr>
          <w:szCs w:val="20"/>
        </w:rPr>
      </w:pPr>
    </w:p>
    <w:p w14:paraId="55AF2DE0" w14:textId="77777777" w:rsidR="001C447D" w:rsidRPr="00E54204" w:rsidRDefault="001C447D" w:rsidP="00336B7B">
      <w:pPr>
        <w:jc w:val="center"/>
        <w:rPr>
          <w:szCs w:val="20"/>
        </w:rPr>
      </w:pPr>
    </w:p>
    <w:p w14:paraId="3C7FBC7F" w14:textId="77777777" w:rsidR="001C447D" w:rsidRPr="00E54204" w:rsidRDefault="001C447D" w:rsidP="00336B7B">
      <w:pPr>
        <w:jc w:val="center"/>
        <w:rPr>
          <w:szCs w:val="20"/>
        </w:rPr>
      </w:pPr>
    </w:p>
    <w:p w14:paraId="0B6F30FA" w14:textId="77777777" w:rsidR="001C447D" w:rsidRPr="00E54204" w:rsidRDefault="001C447D" w:rsidP="00336B7B">
      <w:pPr>
        <w:jc w:val="center"/>
        <w:rPr>
          <w:szCs w:val="20"/>
        </w:rPr>
      </w:pPr>
    </w:p>
    <w:p w14:paraId="43B69C52" w14:textId="77777777" w:rsidR="00AA1903" w:rsidRPr="00E54204" w:rsidRDefault="009E12BD" w:rsidP="00CA7D93">
      <w:pPr>
        <w:jc w:val="center"/>
        <w:rPr>
          <w:szCs w:val="20"/>
        </w:rPr>
      </w:pPr>
      <w:r w:rsidRPr="00E54204">
        <w:rPr>
          <w:szCs w:val="20"/>
        </w:rPr>
        <w:lastRenderedPageBreak/>
        <w:t>ACKNOWLEDG</w:t>
      </w:r>
      <w:r w:rsidR="00AA1903" w:rsidRPr="00E54204">
        <w:rPr>
          <w:szCs w:val="20"/>
        </w:rPr>
        <w:t>MENTS</w:t>
      </w:r>
    </w:p>
    <w:p w14:paraId="4F97C3CA" w14:textId="77777777" w:rsidR="00731EC0" w:rsidRPr="00E54204" w:rsidRDefault="00731EC0" w:rsidP="00731EC0">
      <w:pPr>
        <w:ind w:firstLine="720"/>
        <w:rPr>
          <w:bCs/>
        </w:rPr>
      </w:pPr>
      <w:r w:rsidRPr="00E54204">
        <w:rPr>
          <w:bCs/>
        </w:rPr>
        <w:t>I would like to thank the Department of Religious Studies at Florida International University for providing the opportunity to complete this program</w:t>
      </w:r>
      <w:r w:rsidR="003C0827" w:rsidRPr="00E54204">
        <w:rPr>
          <w:bCs/>
        </w:rPr>
        <w:t xml:space="preserve"> as a teaching a</w:t>
      </w:r>
      <w:r w:rsidRPr="00E54204">
        <w:rPr>
          <w:bCs/>
        </w:rPr>
        <w:t>ssistant.  I have benefited much from assisting Professors with their classes.  Moreover, I have enjoyed getting to know the faculty, staff, and students in the Dep</w:t>
      </w:r>
      <w:r w:rsidR="00D65301">
        <w:rPr>
          <w:bCs/>
        </w:rPr>
        <w:t>artment.  I am thankful for</w:t>
      </w:r>
      <w:r w:rsidRPr="00E54204">
        <w:rPr>
          <w:bCs/>
        </w:rPr>
        <w:t xml:space="preserve"> learning that</w:t>
      </w:r>
      <w:r w:rsidR="00D65301">
        <w:rPr>
          <w:bCs/>
        </w:rPr>
        <w:t xml:space="preserve"> has</w:t>
      </w:r>
      <w:r w:rsidRPr="00E54204">
        <w:rPr>
          <w:bCs/>
        </w:rPr>
        <w:t xml:space="preserve"> occurred both in and outside the classroom.</w:t>
      </w:r>
    </w:p>
    <w:p w14:paraId="0C3EF999" w14:textId="77777777" w:rsidR="00731EC0" w:rsidRPr="00E54204" w:rsidRDefault="00731EC0" w:rsidP="00731EC0">
      <w:pPr>
        <w:rPr>
          <w:bCs/>
        </w:rPr>
      </w:pPr>
      <w:r w:rsidRPr="00E54204">
        <w:rPr>
          <w:bCs/>
        </w:rPr>
        <w:tab/>
        <w:t>I would like to thank my major Professor Dr. Erik L</w:t>
      </w:r>
      <w:r w:rsidR="00717BA4" w:rsidRPr="00E54204">
        <w:rPr>
          <w:bCs/>
        </w:rPr>
        <w:t>arson</w:t>
      </w:r>
      <w:r w:rsidRPr="00E54204">
        <w:rPr>
          <w:bCs/>
        </w:rPr>
        <w:t xml:space="preserve">.  He has </w:t>
      </w:r>
      <w:r w:rsidR="00717BA4" w:rsidRPr="00E54204">
        <w:rPr>
          <w:bCs/>
        </w:rPr>
        <w:t xml:space="preserve">consistently </w:t>
      </w:r>
      <w:r w:rsidRPr="00E54204">
        <w:rPr>
          <w:bCs/>
        </w:rPr>
        <w:t>assis</w:t>
      </w:r>
      <w:r w:rsidR="00717BA4" w:rsidRPr="00E54204">
        <w:rPr>
          <w:bCs/>
        </w:rPr>
        <w:t>ted me</w:t>
      </w:r>
      <w:r w:rsidRPr="00E54204">
        <w:rPr>
          <w:bCs/>
        </w:rPr>
        <w:t xml:space="preserve"> with precise and thorough feedback on this thesis and has always made him</w:t>
      </w:r>
      <w:r w:rsidR="00642063" w:rsidRPr="00E54204">
        <w:rPr>
          <w:bCs/>
        </w:rPr>
        <w:t>self available whenever I sought</w:t>
      </w:r>
      <w:r w:rsidRPr="00E54204">
        <w:rPr>
          <w:bCs/>
        </w:rPr>
        <w:t xml:space="preserve"> to speak with him.  I am grateful for his continued involvement and guidance.</w:t>
      </w:r>
    </w:p>
    <w:p w14:paraId="66FA148F" w14:textId="77777777" w:rsidR="00731EC0" w:rsidRPr="00E54204" w:rsidRDefault="00731EC0" w:rsidP="00731EC0">
      <w:pPr>
        <w:rPr>
          <w:bCs/>
        </w:rPr>
      </w:pPr>
      <w:r w:rsidRPr="00E54204">
        <w:rPr>
          <w:bCs/>
        </w:rPr>
        <w:tab/>
        <w:t>I would like to thank Dr. Oren Stier who has been diligent in helping me stay on track throughout the writing process.  I am thankful for his feedback, edits, and encouraging remarks.</w:t>
      </w:r>
    </w:p>
    <w:p w14:paraId="22F391B6" w14:textId="77777777" w:rsidR="00731EC0" w:rsidRPr="00E54204" w:rsidRDefault="00731EC0" w:rsidP="00731EC0">
      <w:pPr>
        <w:rPr>
          <w:bCs/>
        </w:rPr>
      </w:pPr>
      <w:r w:rsidRPr="00E54204">
        <w:rPr>
          <w:bCs/>
        </w:rPr>
        <w:tab/>
        <w:t>I would like to thank Dr. Tudor Parfitt who also provided insightful suggestions in the development and structure of this project.</w:t>
      </w:r>
    </w:p>
    <w:p w14:paraId="7529ABD6" w14:textId="77777777" w:rsidR="00731EC0" w:rsidRPr="00E54204" w:rsidRDefault="00D65301" w:rsidP="00731EC0">
      <w:pPr>
        <w:rPr>
          <w:bCs/>
        </w:rPr>
      </w:pPr>
      <w:r>
        <w:rPr>
          <w:bCs/>
        </w:rPr>
        <w:tab/>
        <w:t xml:space="preserve">Lastly, I would </w:t>
      </w:r>
      <w:r w:rsidR="00731EC0" w:rsidRPr="00E54204">
        <w:rPr>
          <w:bCs/>
        </w:rPr>
        <w:t xml:space="preserve">like to thank Dr. Roberto Pacheco, who has been another constant voice of guidance and support.  I am grateful for his involvement in proofreading each chapter and providing </w:t>
      </w:r>
      <w:r w:rsidR="003C0827" w:rsidRPr="00E54204">
        <w:rPr>
          <w:bCs/>
        </w:rPr>
        <w:t>feedback on grammar and content</w:t>
      </w:r>
      <w:r w:rsidR="00731EC0" w:rsidRPr="00E54204">
        <w:rPr>
          <w:bCs/>
        </w:rPr>
        <w:t>.</w:t>
      </w:r>
    </w:p>
    <w:p w14:paraId="5AB21DD6" w14:textId="77777777" w:rsidR="00EE05FB" w:rsidRPr="00E54204" w:rsidRDefault="00EE05FB" w:rsidP="00EE05FB">
      <w:pPr>
        <w:rPr>
          <w:szCs w:val="20"/>
        </w:rPr>
      </w:pPr>
    </w:p>
    <w:p w14:paraId="7E2F868F" w14:textId="77777777" w:rsidR="0004162E" w:rsidRPr="00E54204" w:rsidRDefault="0004162E" w:rsidP="00114E82">
      <w:pPr>
        <w:rPr>
          <w:szCs w:val="20"/>
        </w:rPr>
      </w:pPr>
      <w:r w:rsidRPr="00E54204">
        <w:rPr>
          <w:szCs w:val="20"/>
        </w:rPr>
        <w:tab/>
      </w:r>
    </w:p>
    <w:p w14:paraId="004A2AC4" w14:textId="77777777" w:rsidR="00EE05FB" w:rsidRPr="00E54204" w:rsidRDefault="00EE05FB" w:rsidP="00EE05FB">
      <w:pPr>
        <w:rPr>
          <w:szCs w:val="20"/>
        </w:rPr>
      </w:pPr>
      <w:r w:rsidRPr="00E54204">
        <w:rPr>
          <w:szCs w:val="20"/>
        </w:rPr>
        <w:tab/>
      </w:r>
    </w:p>
    <w:p w14:paraId="38575CC6" w14:textId="77777777" w:rsidR="00AA1903" w:rsidRPr="00E54204" w:rsidRDefault="00AA1903" w:rsidP="002C6ACB">
      <w:pPr>
        <w:jc w:val="center"/>
        <w:rPr>
          <w:szCs w:val="20"/>
        </w:rPr>
      </w:pPr>
    </w:p>
    <w:p w14:paraId="0A8EDAEC" w14:textId="77777777" w:rsidR="00AA1903" w:rsidRPr="00E54204" w:rsidRDefault="00AA1903" w:rsidP="002C6ACB">
      <w:pPr>
        <w:jc w:val="center"/>
        <w:rPr>
          <w:szCs w:val="20"/>
        </w:rPr>
      </w:pPr>
    </w:p>
    <w:p w14:paraId="25713A12" w14:textId="77777777" w:rsidR="002C6ACB" w:rsidRPr="00E54204" w:rsidRDefault="002C6ACB" w:rsidP="004006AF">
      <w:pPr>
        <w:jc w:val="center"/>
        <w:rPr>
          <w:szCs w:val="20"/>
        </w:rPr>
      </w:pPr>
      <w:r w:rsidRPr="00E54204">
        <w:rPr>
          <w:szCs w:val="20"/>
        </w:rPr>
        <w:lastRenderedPageBreak/>
        <w:t>ABSTRACT OF THE THESIS</w:t>
      </w:r>
    </w:p>
    <w:p w14:paraId="03CD9012" w14:textId="77777777" w:rsidR="002C6ACB" w:rsidRPr="00E54204" w:rsidRDefault="00A42A0D" w:rsidP="00A42A0D">
      <w:pPr>
        <w:jc w:val="center"/>
        <w:rPr>
          <w:szCs w:val="20"/>
        </w:rPr>
      </w:pPr>
      <w:r w:rsidRPr="00E54204">
        <w:rPr>
          <w:szCs w:val="20"/>
        </w:rPr>
        <w:t>HEAVENLY VOICE, EARTHLY ECHO: UNRAVELING THE FUNCTION OF THE BAT KOL IN RABBINIC WRITINGS</w:t>
      </w:r>
    </w:p>
    <w:p w14:paraId="001CB99E" w14:textId="77777777" w:rsidR="002C6ACB" w:rsidRPr="00E54204" w:rsidRDefault="002C6ACB" w:rsidP="002C6ACB">
      <w:pPr>
        <w:jc w:val="center"/>
        <w:rPr>
          <w:szCs w:val="20"/>
        </w:rPr>
      </w:pPr>
      <w:r w:rsidRPr="00E54204">
        <w:rPr>
          <w:szCs w:val="20"/>
        </w:rPr>
        <w:t>by</w:t>
      </w:r>
    </w:p>
    <w:p w14:paraId="690982EA" w14:textId="77777777" w:rsidR="002C6ACB" w:rsidRPr="00E54204" w:rsidRDefault="009E5162" w:rsidP="002C6ACB">
      <w:pPr>
        <w:jc w:val="center"/>
        <w:rPr>
          <w:szCs w:val="20"/>
        </w:rPr>
      </w:pPr>
      <w:r w:rsidRPr="00E54204">
        <w:rPr>
          <w:szCs w:val="20"/>
        </w:rPr>
        <w:t>John David</w:t>
      </w:r>
      <w:r w:rsidR="002C6ACB" w:rsidRPr="00E54204">
        <w:rPr>
          <w:szCs w:val="20"/>
        </w:rPr>
        <w:t xml:space="preserve"> Grullon</w:t>
      </w:r>
    </w:p>
    <w:p w14:paraId="2CF044C5" w14:textId="77777777" w:rsidR="002C6ACB" w:rsidRPr="00E54204" w:rsidRDefault="002C6ACB" w:rsidP="002C6ACB">
      <w:pPr>
        <w:jc w:val="center"/>
        <w:rPr>
          <w:szCs w:val="20"/>
        </w:rPr>
      </w:pPr>
      <w:r w:rsidRPr="00E54204">
        <w:rPr>
          <w:szCs w:val="20"/>
        </w:rPr>
        <w:t>Florida International University, 2016</w:t>
      </w:r>
    </w:p>
    <w:p w14:paraId="188B01CD" w14:textId="77777777" w:rsidR="002C6ACB" w:rsidRPr="00E54204" w:rsidRDefault="002C6ACB" w:rsidP="002C6ACB">
      <w:pPr>
        <w:jc w:val="center"/>
        <w:rPr>
          <w:szCs w:val="20"/>
        </w:rPr>
      </w:pPr>
      <w:r w:rsidRPr="00E54204">
        <w:rPr>
          <w:szCs w:val="20"/>
        </w:rPr>
        <w:t>Miami, Florida</w:t>
      </w:r>
    </w:p>
    <w:p w14:paraId="27D0CCD9" w14:textId="77777777" w:rsidR="002C6ACB" w:rsidRPr="00E54204" w:rsidRDefault="002C6ACB" w:rsidP="002C6ACB">
      <w:pPr>
        <w:jc w:val="center"/>
        <w:rPr>
          <w:szCs w:val="20"/>
        </w:rPr>
      </w:pPr>
      <w:r w:rsidRPr="00E54204">
        <w:rPr>
          <w:szCs w:val="20"/>
        </w:rPr>
        <w:t>Professor Erik Larson</w:t>
      </w:r>
    </w:p>
    <w:p w14:paraId="104F5D3A" w14:textId="0BE8809D" w:rsidR="002C6ACB" w:rsidRPr="00E54204" w:rsidRDefault="002C6ACB" w:rsidP="00F24082">
      <w:pPr>
        <w:ind w:firstLine="720"/>
        <w:rPr>
          <w:szCs w:val="20"/>
        </w:rPr>
      </w:pPr>
      <w:r w:rsidRPr="00E54204">
        <w:rPr>
          <w:szCs w:val="20"/>
        </w:rPr>
        <w:t>There is</w:t>
      </w:r>
      <w:r w:rsidR="00827748" w:rsidRPr="00E54204">
        <w:rPr>
          <w:szCs w:val="20"/>
        </w:rPr>
        <w:t xml:space="preserve"> an ancient </w:t>
      </w:r>
      <w:r w:rsidR="00AA2E39" w:rsidRPr="00E54204">
        <w:rPr>
          <w:szCs w:val="20"/>
        </w:rPr>
        <w:t>rabbinic apothegm</w:t>
      </w:r>
      <w:r w:rsidRPr="00E54204">
        <w:rPr>
          <w:szCs w:val="20"/>
        </w:rPr>
        <w:t xml:space="preserve"> which asserts that</w:t>
      </w:r>
      <w:r w:rsidR="00510D07">
        <w:rPr>
          <w:szCs w:val="20"/>
        </w:rPr>
        <w:t xml:space="preserve"> prophecy </w:t>
      </w:r>
      <w:bookmarkStart w:id="0" w:name="_GoBack"/>
      <w:bookmarkEnd w:id="0"/>
      <w:r w:rsidR="00510D07">
        <w:rPr>
          <w:szCs w:val="20"/>
        </w:rPr>
        <w:t>ceased</w:t>
      </w:r>
      <w:r w:rsidRPr="00E54204">
        <w:rPr>
          <w:szCs w:val="20"/>
        </w:rPr>
        <w:t xml:space="preserve"> after </w:t>
      </w:r>
      <w:r w:rsidR="009E5162" w:rsidRPr="00E54204">
        <w:rPr>
          <w:szCs w:val="20"/>
        </w:rPr>
        <w:t>the last Biblical prophets,</w:t>
      </w:r>
      <w:r w:rsidRPr="00E54204">
        <w:rPr>
          <w:szCs w:val="20"/>
        </w:rPr>
        <w:t xml:space="preserve"> Haggai, Za</w:t>
      </w:r>
      <w:r w:rsidR="009E5162" w:rsidRPr="00E54204">
        <w:rPr>
          <w:szCs w:val="20"/>
        </w:rPr>
        <w:t>chariah, and</w:t>
      </w:r>
      <w:r w:rsidR="007B44D4" w:rsidRPr="00E54204">
        <w:rPr>
          <w:szCs w:val="20"/>
        </w:rPr>
        <w:t xml:space="preserve"> Malachi.  After their deaths</w:t>
      </w:r>
      <w:r w:rsidR="00B33463" w:rsidRPr="00E54204">
        <w:rPr>
          <w:szCs w:val="20"/>
        </w:rPr>
        <w:t>,</w:t>
      </w:r>
      <w:r w:rsidR="007B44D4" w:rsidRPr="00E54204">
        <w:rPr>
          <w:szCs w:val="20"/>
        </w:rPr>
        <w:t xml:space="preserve"> </w:t>
      </w:r>
      <w:r w:rsidR="009E5162" w:rsidRPr="00E54204">
        <w:rPr>
          <w:szCs w:val="20"/>
        </w:rPr>
        <w:t>a n</w:t>
      </w:r>
      <w:r w:rsidR="007B44D4" w:rsidRPr="00E54204">
        <w:rPr>
          <w:szCs w:val="20"/>
        </w:rPr>
        <w:t>ew phase of divine revelati</w:t>
      </w:r>
      <w:r w:rsidR="00D73E76" w:rsidRPr="00E54204">
        <w:rPr>
          <w:szCs w:val="20"/>
        </w:rPr>
        <w:t>on was believed to have emerged</w:t>
      </w:r>
      <w:r w:rsidR="007B44D4" w:rsidRPr="00E54204">
        <w:rPr>
          <w:szCs w:val="20"/>
        </w:rPr>
        <w:t xml:space="preserve"> through </w:t>
      </w:r>
      <w:r w:rsidR="0041413F" w:rsidRPr="00E54204">
        <w:rPr>
          <w:szCs w:val="20"/>
        </w:rPr>
        <w:t>manifestations of a</w:t>
      </w:r>
      <w:r w:rsidR="009E5162" w:rsidRPr="00E54204">
        <w:rPr>
          <w:szCs w:val="20"/>
        </w:rPr>
        <w:t xml:space="preserve"> </w:t>
      </w:r>
      <w:r w:rsidRPr="00E54204">
        <w:rPr>
          <w:szCs w:val="20"/>
        </w:rPr>
        <w:t>bat kol (lit. “Daughter of a voi</w:t>
      </w:r>
      <w:r w:rsidR="00827748" w:rsidRPr="00E54204">
        <w:rPr>
          <w:szCs w:val="20"/>
        </w:rPr>
        <w:t>ce”).  This thesis examines the bat kol’s</w:t>
      </w:r>
      <w:r w:rsidRPr="00E54204">
        <w:rPr>
          <w:szCs w:val="20"/>
        </w:rPr>
        <w:t xml:space="preserve"> fun</w:t>
      </w:r>
      <w:r w:rsidR="009E5162" w:rsidRPr="00E54204">
        <w:rPr>
          <w:szCs w:val="20"/>
        </w:rPr>
        <w:t>ction within the contour</w:t>
      </w:r>
      <w:r w:rsidR="0041413F" w:rsidRPr="00E54204">
        <w:rPr>
          <w:szCs w:val="20"/>
        </w:rPr>
        <w:t>s of</w:t>
      </w:r>
      <w:r w:rsidR="009E5162" w:rsidRPr="00E54204">
        <w:rPr>
          <w:szCs w:val="20"/>
        </w:rPr>
        <w:t xml:space="preserve"> the</w:t>
      </w:r>
      <w:r w:rsidR="003071E5" w:rsidRPr="00E54204">
        <w:rPr>
          <w:szCs w:val="20"/>
        </w:rPr>
        <w:t xml:space="preserve"> Babylonian Talmud,</w:t>
      </w:r>
      <w:r w:rsidR="0041413F" w:rsidRPr="00E54204">
        <w:rPr>
          <w:szCs w:val="20"/>
        </w:rPr>
        <w:t xml:space="preserve"> primarily,</w:t>
      </w:r>
      <w:r w:rsidR="00827748" w:rsidRPr="00E54204">
        <w:rPr>
          <w:szCs w:val="20"/>
        </w:rPr>
        <w:t xml:space="preserve"> </w:t>
      </w:r>
      <w:r w:rsidR="003071E5" w:rsidRPr="00E54204">
        <w:rPr>
          <w:szCs w:val="20"/>
        </w:rPr>
        <w:t>employing</w:t>
      </w:r>
      <w:r w:rsidRPr="00E54204">
        <w:rPr>
          <w:szCs w:val="20"/>
        </w:rPr>
        <w:t xml:space="preserve"> philological, </w:t>
      </w:r>
      <w:r w:rsidR="0039562A" w:rsidRPr="00E54204">
        <w:rPr>
          <w:szCs w:val="20"/>
        </w:rPr>
        <w:t>literary, and historical analyse</w:t>
      </w:r>
      <w:r w:rsidR="00827748" w:rsidRPr="00E54204">
        <w:rPr>
          <w:szCs w:val="20"/>
        </w:rPr>
        <w:t>s</w:t>
      </w:r>
      <w:r w:rsidR="0041413F" w:rsidRPr="00E54204">
        <w:rPr>
          <w:szCs w:val="20"/>
        </w:rPr>
        <w:t xml:space="preserve">.  Moreover, it includes a review of </w:t>
      </w:r>
      <w:r w:rsidR="007B44D4" w:rsidRPr="00E54204">
        <w:rPr>
          <w:szCs w:val="20"/>
        </w:rPr>
        <w:t>parallels wi</w:t>
      </w:r>
      <w:r w:rsidR="0041413F" w:rsidRPr="00E54204">
        <w:rPr>
          <w:szCs w:val="20"/>
        </w:rPr>
        <w:t xml:space="preserve">th </w:t>
      </w:r>
      <w:r w:rsidR="007B44D4" w:rsidRPr="00E54204">
        <w:rPr>
          <w:szCs w:val="20"/>
        </w:rPr>
        <w:t xml:space="preserve">Biblical and </w:t>
      </w:r>
      <w:r w:rsidR="00193EF8" w:rsidRPr="00E54204">
        <w:rPr>
          <w:szCs w:val="20"/>
        </w:rPr>
        <w:t>Second-Temple era, A</w:t>
      </w:r>
      <w:r w:rsidR="007B44D4" w:rsidRPr="00E54204">
        <w:rPr>
          <w:szCs w:val="20"/>
        </w:rPr>
        <w:t>pocalyptic works</w:t>
      </w:r>
      <w:r w:rsidR="00193EF8" w:rsidRPr="00E54204">
        <w:rPr>
          <w:szCs w:val="20"/>
        </w:rPr>
        <w:t>,</w:t>
      </w:r>
      <w:r w:rsidR="0041413F" w:rsidRPr="00E54204">
        <w:rPr>
          <w:szCs w:val="20"/>
        </w:rPr>
        <w:t xml:space="preserve"> so as to suggest possible origins</w:t>
      </w:r>
      <w:r w:rsidR="007B44D4" w:rsidRPr="00E54204">
        <w:rPr>
          <w:szCs w:val="20"/>
        </w:rPr>
        <w:t>.</w:t>
      </w:r>
      <w:r w:rsidR="0041413F" w:rsidRPr="00E54204">
        <w:rPr>
          <w:szCs w:val="20"/>
        </w:rPr>
        <w:t xml:space="preserve">  </w:t>
      </w:r>
      <w:r w:rsidR="007B44D4" w:rsidRPr="00E54204">
        <w:rPr>
          <w:szCs w:val="20"/>
        </w:rPr>
        <w:t>I</w:t>
      </w:r>
      <w:r w:rsidR="0041413F" w:rsidRPr="00E54204">
        <w:rPr>
          <w:szCs w:val="20"/>
        </w:rPr>
        <w:t>n addition,</w:t>
      </w:r>
      <w:r w:rsidR="00827748" w:rsidRPr="00E54204">
        <w:rPr>
          <w:szCs w:val="20"/>
        </w:rPr>
        <w:t xml:space="preserve"> a sample of about ten stories</w:t>
      </w:r>
      <w:r w:rsidR="0041413F" w:rsidRPr="00E54204">
        <w:rPr>
          <w:szCs w:val="20"/>
        </w:rPr>
        <w:t xml:space="preserve"> are presented as </w:t>
      </w:r>
      <w:r w:rsidR="00827748" w:rsidRPr="00E54204">
        <w:rPr>
          <w:szCs w:val="20"/>
        </w:rPr>
        <w:t>representative of larger categories</w:t>
      </w:r>
      <w:r w:rsidR="0041413F" w:rsidRPr="00E54204">
        <w:rPr>
          <w:szCs w:val="20"/>
        </w:rPr>
        <w:t xml:space="preserve"> I consider best exhibit the </w:t>
      </w:r>
      <w:r w:rsidR="007B44D4" w:rsidRPr="00E54204">
        <w:rPr>
          <w:szCs w:val="20"/>
        </w:rPr>
        <w:t>bat kol</w:t>
      </w:r>
      <w:r w:rsidR="0041413F" w:rsidRPr="00E54204">
        <w:rPr>
          <w:szCs w:val="20"/>
        </w:rPr>
        <w:t>’s purpose</w:t>
      </w:r>
      <w:r w:rsidR="007B44D4" w:rsidRPr="00E54204">
        <w:rPr>
          <w:szCs w:val="20"/>
        </w:rPr>
        <w:t>.  The</w:t>
      </w:r>
      <w:r w:rsidR="00193EF8" w:rsidRPr="00E54204">
        <w:rPr>
          <w:szCs w:val="20"/>
        </w:rPr>
        <w:t xml:space="preserve"> categories include</w:t>
      </w:r>
      <w:r w:rsidR="007B44D4" w:rsidRPr="00E54204">
        <w:rPr>
          <w:szCs w:val="20"/>
        </w:rPr>
        <w:t>:</w:t>
      </w:r>
      <w:r w:rsidR="00827748" w:rsidRPr="00E54204">
        <w:rPr>
          <w:szCs w:val="20"/>
        </w:rPr>
        <w:t xml:space="preserve"> announcing an individual’s entry into t</w:t>
      </w:r>
      <w:r w:rsidR="00B33463" w:rsidRPr="00E54204">
        <w:rPr>
          <w:szCs w:val="20"/>
        </w:rPr>
        <w:t>he world to come,</w:t>
      </w:r>
      <w:r w:rsidR="00827748" w:rsidRPr="00E54204">
        <w:rPr>
          <w:szCs w:val="20"/>
        </w:rPr>
        <w:t xml:space="preserve"> encomium and disdain towards individuals, matters related to </w:t>
      </w:r>
      <w:r w:rsidR="00EF69C7" w:rsidRPr="00116734">
        <w:rPr>
          <w:szCs w:val="20"/>
        </w:rPr>
        <w:t>H</w:t>
      </w:r>
      <w:r w:rsidR="00827748" w:rsidRPr="00116734">
        <w:rPr>
          <w:szCs w:val="20"/>
        </w:rPr>
        <w:t>a</w:t>
      </w:r>
      <w:r w:rsidR="00EF69C7" w:rsidRPr="00116734">
        <w:rPr>
          <w:szCs w:val="20"/>
        </w:rPr>
        <w:t>lac</w:t>
      </w:r>
      <w:r w:rsidR="00827748" w:rsidRPr="00116734">
        <w:rPr>
          <w:szCs w:val="20"/>
        </w:rPr>
        <w:t>ha</w:t>
      </w:r>
      <w:r w:rsidR="00827748" w:rsidRPr="00E54204">
        <w:rPr>
          <w:szCs w:val="20"/>
        </w:rPr>
        <w:t xml:space="preserve"> (Jewish Law), and miscellaneous.</w:t>
      </w:r>
      <w:r w:rsidR="0041413F" w:rsidRPr="00E54204">
        <w:rPr>
          <w:szCs w:val="20"/>
        </w:rPr>
        <w:t xml:space="preserve">  As a</w:t>
      </w:r>
      <w:r w:rsidR="007F1133" w:rsidRPr="00E54204">
        <w:rPr>
          <w:szCs w:val="20"/>
        </w:rPr>
        <w:t xml:space="preserve"> result we discover how the rabbis employed the bat kol to address contemporary concerns.</w:t>
      </w:r>
    </w:p>
    <w:p w14:paraId="4FB83CFB" w14:textId="77777777" w:rsidR="002A5EEC" w:rsidRPr="00E54204" w:rsidRDefault="002A5EEC" w:rsidP="002C6ACB">
      <w:pPr>
        <w:jc w:val="center"/>
        <w:rPr>
          <w:szCs w:val="20"/>
        </w:rPr>
      </w:pPr>
    </w:p>
    <w:p w14:paraId="6A084AE3" w14:textId="77777777" w:rsidR="003071E5" w:rsidRPr="00E54204" w:rsidRDefault="003071E5" w:rsidP="002C6ACB">
      <w:pPr>
        <w:jc w:val="center"/>
        <w:rPr>
          <w:szCs w:val="20"/>
        </w:rPr>
      </w:pPr>
    </w:p>
    <w:p w14:paraId="5B2DE145" w14:textId="77777777" w:rsidR="00963EA2" w:rsidRPr="00E54204" w:rsidRDefault="00963EA2" w:rsidP="004E7CFB">
      <w:pPr>
        <w:rPr>
          <w:szCs w:val="20"/>
        </w:rPr>
      </w:pPr>
    </w:p>
    <w:sdt>
      <w:sdtPr>
        <w:rPr>
          <w:rFonts w:ascii="Times New Roman" w:eastAsiaTheme="minorHAnsi" w:hAnsi="Times New Roman" w:cstheme="minorBidi"/>
          <w:color w:val="auto"/>
          <w:sz w:val="24"/>
          <w:szCs w:val="22"/>
        </w:rPr>
        <w:id w:val="-928731055"/>
        <w:docPartObj>
          <w:docPartGallery w:val="Table of Contents"/>
          <w:docPartUnique/>
        </w:docPartObj>
      </w:sdtPr>
      <w:sdtEndPr>
        <w:rPr>
          <w:b/>
          <w:bCs/>
          <w:noProof/>
        </w:rPr>
      </w:sdtEndPr>
      <w:sdtContent>
        <w:sdt>
          <w:sdtPr>
            <w:rPr>
              <w:rFonts w:ascii="Times New Roman" w:eastAsiaTheme="minorEastAsia" w:hAnsi="Times New Roman" w:cs="Times New Roman"/>
              <w:b/>
              <w:bCs/>
              <w:color w:val="auto"/>
              <w:sz w:val="24"/>
              <w:szCs w:val="24"/>
              <w:lang w:eastAsia="ja-JP"/>
            </w:rPr>
            <w:id w:val="693272208"/>
            <w:docPartObj>
              <w:docPartGallery w:val="Table of Contents"/>
              <w:docPartUnique/>
            </w:docPartObj>
          </w:sdtPr>
          <w:sdtEndPr>
            <w:rPr>
              <w:b w:val="0"/>
              <w:bCs w:val="0"/>
            </w:rPr>
          </w:sdtEndPr>
          <w:sdtContent>
            <w:p w14:paraId="0A28091C" w14:textId="77777777" w:rsidR="007B7D3B" w:rsidRPr="00E54204" w:rsidRDefault="007B7D3B" w:rsidP="007B7D3B">
              <w:pPr>
                <w:pStyle w:val="TOCHeading"/>
                <w:spacing w:before="0" w:line="240" w:lineRule="auto"/>
                <w:jc w:val="center"/>
                <w:rPr>
                  <w:rFonts w:ascii="Times New Roman" w:hAnsi="Times New Roman" w:cs="Times New Roman"/>
                  <w:b/>
                  <w:color w:val="auto"/>
                  <w:sz w:val="24"/>
                  <w:szCs w:val="24"/>
                </w:rPr>
              </w:pPr>
              <w:r w:rsidRPr="00E54204">
                <w:rPr>
                  <w:rFonts w:ascii="Times New Roman" w:hAnsi="Times New Roman" w:cs="Times New Roman"/>
                  <w:color w:val="auto"/>
                  <w:sz w:val="24"/>
                  <w:szCs w:val="24"/>
                </w:rPr>
                <w:t>TABLE OF CONTENTS</w:t>
              </w:r>
            </w:p>
            <w:p w14:paraId="3CF22002" w14:textId="77777777" w:rsidR="007B7D3B" w:rsidRPr="00E54204" w:rsidRDefault="007B7D3B" w:rsidP="007B7D3B">
              <w:pPr>
                <w:spacing w:line="240" w:lineRule="auto"/>
                <w:rPr>
                  <w:szCs w:val="24"/>
                  <w:lang w:eastAsia="ja-JP"/>
                </w:rPr>
              </w:pPr>
            </w:p>
            <w:p w14:paraId="2FC2C658" w14:textId="77777777" w:rsidR="007B7D3B" w:rsidRPr="00E54204" w:rsidRDefault="007B7D3B" w:rsidP="007B7D3B">
              <w:pPr>
                <w:spacing w:line="240" w:lineRule="auto"/>
                <w:rPr>
                  <w:rFonts w:cs="Times New Roman"/>
                  <w:szCs w:val="24"/>
                  <w:lang w:eastAsia="ja-JP"/>
                </w:rPr>
              </w:pPr>
              <w:r w:rsidRPr="00E54204">
                <w:rPr>
                  <w:rFonts w:cs="Times New Roman"/>
                  <w:szCs w:val="24"/>
                  <w:lang w:eastAsia="ja-JP"/>
                </w:rPr>
                <w:t xml:space="preserve">CHAPTER                                    </w:t>
              </w:r>
              <w:r w:rsidRPr="00E54204">
                <w:rPr>
                  <w:rFonts w:cs="Times New Roman"/>
                  <w:szCs w:val="24"/>
                  <w:lang w:eastAsia="ja-JP"/>
                </w:rPr>
                <w:tab/>
              </w:r>
              <w:r w:rsidRPr="00E54204">
                <w:rPr>
                  <w:rFonts w:cs="Times New Roman"/>
                  <w:szCs w:val="24"/>
                  <w:lang w:eastAsia="ja-JP"/>
                </w:rPr>
                <w:tab/>
              </w:r>
              <w:r w:rsidRPr="00E54204">
                <w:rPr>
                  <w:rFonts w:cs="Times New Roman"/>
                  <w:szCs w:val="24"/>
                  <w:lang w:eastAsia="ja-JP"/>
                </w:rPr>
                <w:tab/>
              </w:r>
              <w:r w:rsidRPr="00E54204">
                <w:rPr>
                  <w:rFonts w:cs="Times New Roman"/>
                  <w:szCs w:val="24"/>
                  <w:lang w:eastAsia="ja-JP"/>
                </w:rPr>
                <w:tab/>
              </w:r>
              <w:r w:rsidRPr="00E54204">
                <w:rPr>
                  <w:rFonts w:cs="Times New Roman"/>
                  <w:szCs w:val="24"/>
                  <w:lang w:eastAsia="ja-JP"/>
                </w:rPr>
                <w:tab/>
              </w:r>
              <w:r w:rsidRPr="00E54204">
                <w:rPr>
                  <w:rFonts w:cs="Times New Roman"/>
                  <w:szCs w:val="24"/>
                  <w:lang w:eastAsia="ja-JP"/>
                </w:rPr>
                <w:tab/>
              </w:r>
              <w:r w:rsidRPr="00E54204">
                <w:rPr>
                  <w:rFonts w:cs="Times New Roman"/>
                  <w:szCs w:val="24"/>
                  <w:lang w:eastAsia="ja-JP"/>
                </w:rPr>
                <w:tab/>
                <w:t xml:space="preserve"> PAGE</w:t>
              </w:r>
            </w:p>
            <w:p w14:paraId="5E3FDABC" w14:textId="77777777" w:rsidR="007B7D3B" w:rsidRPr="00E54204" w:rsidRDefault="007B7D3B" w:rsidP="007B7D3B">
              <w:pPr>
                <w:spacing w:line="240" w:lineRule="auto"/>
                <w:rPr>
                  <w:rFonts w:cs="Times New Roman"/>
                  <w:szCs w:val="24"/>
                  <w:lang w:eastAsia="ja-JP"/>
                </w:rPr>
              </w:pPr>
            </w:p>
            <w:p w14:paraId="52B7440C"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INTRODUCTION</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p>
            <w:p w14:paraId="5BBA73D3"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w:t>
              </w:r>
              <w:r w:rsidRPr="00E54204">
                <w:rPr>
                  <w:rFonts w:ascii="Times New Roman" w:hAnsi="Times New Roman" w:cs="Times New Roman"/>
                  <w:bCs/>
                  <w:sz w:val="24"/>
                  <w:szCs w:val="24"/>
                </w:rPr>
                <w:tab/>
                <w:t>Terms and Methodology</w:t>
              </w:r>
              <w:r w:rsidRPr="00E54204">
                <w:rPr>
                  <w:rFonts w:ascii="Times New Roman" w:hAnsi="Times New Roman" w:cs="Times New Roman"/>
                  <w:sz w:val="24"/>
                  <w:szCs w:val="24"/>
                </w:rPr>
                <w:ptab w:relativeTo="margin" w:alignment="right" w:leader="dot"/>
              </w:r>
              <w:r w:rsidR="00B67321" w:rsidRPr="00E54204">
                <w:rPr>
                  <w:rFonts w:ascii="Times New Roman" w:hAnsi="Times New Roman" w:cs="Times New Roman"/>
                  <w:bCs/>
                  <w:sz w:val="24"/>
                  <w:szCs w:val="24"/>
                </w:rPr>
                <w:t>3</w:t>
              </w:r>
            </w:p>
            <w:p w14:paraId="1AFA3BF9" w14:textId="77777777" w:rsidR="007B7D3B" w:rsidRPr="00E54204" w:rsidRDefault="008E6448" w:rsidP="007B7D3B">
              <w:pPr>
                <w:pStyle w:val="TOC1"/>
                <w:spacing w:after="0" w:line="240" w:lineRule="auto"/>
                <w:rPr>
                  <w:rFonts w:ascii="Times New Roman" w:hAnsi="Times New Roman" w:cs="Times New Roman"/>
                  <w:bCs/>
                  <w:sz w:val="24"/>
                  <w:szCs w:val="24"/>
                </w:rPr>
              </w:pPr>
              <w:r w:rsidRPr="00E54204">
                <w:rPr>
                  <w:rFonts w:ascii="Times New Roman" w:hAnsi="Times New Roman" w:cs="Times New Roman"/>
                  <w:bCs/>
                  <w:sz w:val="24"/>
                  <w:szCs w:val="24"/>
                </w:rPr>
                <w:t>II.</w:t>
              </w:r>
              <w:r w:rsidRPr="00E54204">
                <w:rPr>
                  <w:rFonts w:ascii="Times New Roman" w:hAnsi="Times New Roman" w:cs="Times New Roman"/>
                  <w:bCs/>
                  <w:sz w:val="24"/>
                  <w:szCs w:val="24"/>
                </w:rPr>
                <w:tab/>
                <w:t>Chapter O</w:t>
              </w:r>
              <w:r w:rsidR="007B7D3B" w:rsidRPr="00E54204">
                <w:rPr>
                  <w:rFonts w:ascii="Times New Roman" w:hAnsi="Times New Roman" w:cs="Times New Roman"/>
                  <w:bCs/>
                  <w:sz w:val="24"/>
                  <w:szCs w:val="24"/>
                </w:rPr>
                <w:t>verviews</w:t>
              </w:r>
              <w:r w:rsidR="007B7D3B" w:rsidRPr="00E54204">
                <w:rPr>
                  <w:rFonts w:ascii="Times New Roman" w:hAnsi="Times New Roman" w:cs="Times New Roman"/>
                  <w:sz w:val="24"/>
                  <w:szCs w:val="24"/>
                </w:rPr>
                <w:ptab w:relativeTo="margin" w:alignment="right" w:leader="dot"/>
              </w:r>
              <w:r w:rsidR="00B67321" w:rsidRPr="00E54204">
                <w:rPr>
                  <w:rFonts w:ascii="Times New Roman" w:hAnsi="Times New Roman" w:cs="Times New Roman"/>
                  <w:bCs/>
                  <w:sz w:val="24"/>
                  <w:szCs w:val="24"/>
                </w:rPr>
                <w:t>5</w:t>
              </w:r>
            </w:p>
            <w:p w14:paraId="0CDB7C87" w14:textId="77777777" w:rsidR="00A51EF5" w:rsidRPr="00E54204" w:rsidRDefault="00A51EF5" w:rsidP="00A51EF5">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ab/>
                <w:t>A.</w:t>
              </w:r>
              <w:r w:rsidRPr="00E54204">
                <w:rPr>
                  <w:rFonts w:ascii="Times New Roman" w:hAnsi="Times New Roman" w:cs="Times New Roman"/>
                  <w:bCs/>
                  <w:sz w:val="24"/>
                  <w:szCs w:val="24"/>
                </w:rPr>
                <w:tab/>
                <w:t>Literature Review</w:t>
              </w:r>
              <w:r w:rsidR="006603E1" w:rsidRPr="00E54204">
                <w:rPr>
                  <w:rFonts w:ascii="Times New Roman" w:hAnsi="Times New Roman" w:cs="Times New Roman"/>
                  <w:bCs/>
                  <w:sz w:val="24"/>
                  <w:szCs w:val="24"/>
                </w:rPr>
                <w:t>:</w:t>
              </w:r>
              <w:r w:rsidRPr="00E54204">
                <w:rPr>
                  <w:rFonts w:ascii="Times New Roman" w:hAnsi="Times New Roman" w:cs="Times New Roman"/>
                  <w:sz w:val="24"/>
                  <w:szCs w:val="24"/>
                </w:rPr>
                <w:ptab w:relativeTo="margin" w:alignment="right" w:leader="dot"/>
              </w:r>
              <w:r w:rsidR="00B67321" w:rsidRPr="00E54204">
                <w:rPr>
                  <w:rFonts w:ascii="Times New Roman" w:hAnsi="Times New Roman" w:cs="Times New Roman"/>
                  <w:bCs/>
                  <w:sz w:val="24"/>
                  <w:szCs w:val="24"/>
                </w:rPr>
                <w:t>5</w:t>
              </w:r>
            </w:p>
            <w:p w14:paraId="5B44FBF1" w14:textId="77777777" w:rsidR="00A51EF5" w:rsidRPr="00E54204" w:rsidRDefault="00A51EF5" w:rsidP="00A51EF5">
              <w:pPr>
                <w:pStyle w:val="TOC1"/>
                <w:spacing w:after="0" w:line="240" w:lineRule="auto"/>
                <w:rPr>
                  <w:rFonts w:ascii="Times New Roman" w:hAnsi="Times New Roman" w:cs="Times New Roman"/>
                  <w:sz w:val="24"/>
                  <w:szCs w:val="24"/>
                </w:rPr>
              </w:pPr>
              <w:r w:rsidRPr="00E54204">
                <w:tab/>
              </w:r>
              <w:r w:rsidRPr="00E54204">
                <w:rPr>
                  <w:rFonts w:ascii="Times New Roman" w:hAnsi="Times New Roman" w:cs="Times New Roman"/>
                  <w:sz w:val="24"/>
                </w:rPr>
                <w:t>B.</w:t>
              </w:r>
              <w:r w:rsidRPr="00E54204">
                <w:rPr>
                  <w:rFonts w:ascii="Times New Roman" w:hAnsi="Times New Roman" w:cs="Times New Roman"/>
                  <w:sz w:val="24"/>
                </w:rPr>
                <w:tab/>
                <w:t>Origins</w:t>
              </w:r>
              <w:r w:rsidR="006603E1" w:rsidRPr="00E54204">
                <w:rPr>
                  <w:rFonts w:ascii="Times New Roman" w:hAnsi="Times New Roman" w:cs="Times New Roman"/>
                  <w:sz w:val="24"/>
                </w:rPr>
                <w:t>:</w:t>
              </w:r>
              <w:r w:rsidRPr="00E54204">
                <w:rPr>
                  <w:rFonts w:ascii="Times New Roman" w:hAnsi="Times New Roman" w:cs="Times New Roman"/>
                  <w:sz w:val="24"/>
                  <w:szCs w:val="24"/>
                </w:rPr>
                <w:ptab w:relativeTo="margin" w:alignment="right" w:leader="dot"/>
              </w:r>
              <w:r w:rsidR="00B67321" w:rsidRPr="00E54204">
                <w:rPr>
                  <w:rFonts w:ascii="Times New Roman" w:hAnsi="Times New Roman" w:cs="Times New Roman"/>
                  <w:bCs/>
                  <w:sz w:val="24"/>
                  <w:szCs w:val="24"/>
                </w:rPr>
                <w:t>7</w:t>
              </w:r>
            </w:p>
            <w:p w14:paraId="00822F89" w14:textId="77777777" w:rsidR="007B7D3B" w:rsidRPr="00E54204" w:rsidRDefault="00A51EF5" w:rsidP="00A51EF5">
              <w:pPr>
                <w:pStyle w:val="TOC1"/>
                <w:spacing w:after="0" w:line="240" w:lineRule="auto"/>
                <w:rPr>
                  <w:rFonts w:ascii="Times New Roman" w:hAnsi="Times New Roman" w:cs="Times New Roman"/>
                  <w:bCs/>
                  <w:sz w:val="24"/>
                  <w:szCs w:val="24"/>
                </w:rPr>
              </w:pPr>
              <w:r w:rsidRPr="00E54204">
                <w:tab/>
              </w:r>
              <w:r w:rsidRPr="00E54204">
                <w:rPr>
                  <w:rFonts w:ascii="Times New Roman" w:hAnsi="Times New Roman" w:cs="Times New Roman"/>
                  <w:bCs/>
                  <w:sz w:val="24"/>
                  <w:szCs w:val="24"/>
                </w:rPr>
                <w:t>C.</w:t>
              </w:r>
              <w:r w:rsidRPr="00E54204">
                <w:rPr>
                  <w:rFonts w:ascii="Times New Roman" w:hAnsi="Times New Roman" w:cs="Times New Roman"/>
                  <w:bCs/>
                  <w:sz w:val="24"/>
                  <w:szCs w:val="24"/>
                </w:rPr>
                <w:tab/>
                <w:t>Categories</w:t>
              </w:r>
              <w:r w:rsidR="006603E1" w:rsidRPr="00E54204">
                <w:rPr>
                  <w:rFonts w:ascii="Times New Roman" w:hAnsi="Times New Roman" w:cs="Times New Roman"/>
                  <w:bCs/>
                  <w:sz w:val="24"/>
                  <w:szCs w:val="24"/>
                </w:rPr>
                <w:t>:</w:t>
              </w:r>
              <w:r w:rsidRPr="00E54204">
                <w:rPr>
                  <w:rFonts w:ascii="Times New Roman" w:hAnsi="Times New Roman" w:cs="Times New Roman"/>
                  <w:sz w:val="24"/>
                  <w:szCs w:val="24"/>
                </w:rPr>
                <w:ptab w:relativeTo="margin" w:alignment="right" w:leader="dot"/>
              </w:r>
              <w:r w:rsidR="00B67321" w:rsidRPr="00E54204">
                <w:rPr>
                  <w:rFonts w:ascii="Times New Roman" w:hAnsi="Times New Roman" w:cs="Times New Roman"/>
                  <w:bCs/>
                  <w:sz w:val="24"/>
                  <w:szCs w:val="24"/>
                </w:rPr>
                <w:t>9</w:t>
              </w:r>
            </w:p>
            <w:p w14:paraId="1D664C3A" w14:textId="77777777" w:rsidR="00A51EF5" w:rsidRPr="00E54204" w:rsidRDefault="00A51EF5" w:rsidP="00A51EF5">
              <w:pPr>
                <w:rPr>
                  <w:lang w:eastAsia="ja-JP"/>
                </w:rPr>
              </w:pPr>
            </w:p>
            <w:p w14:paraId="7886FC0C"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LITERATURE REVIEW</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FA17BB" w:rsidRPr="00E54204">
                <w:rPr>
                  <w:rFonts w:ascii="Times New Roman" w:hAnsi="Times New Roman" w:cs="Times New Roman"/>
                  <w:bCs/>
                  <w:sz w:val="24"/>
                  <w:szCs w:val="24"/>
                </w:rPr>
                <w:t>2</w:t>
              </w:r>
            </w:p>
            <w:p w14:paraId="6D805FCA"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w:t>
              </w:r>
              <w:r w:rsidRPr="00E54204">
                <w:rPr>
                  <w:rFonts w:ascii="Times New Roman" w:hAnsi="Times New Roman" w:cs="Times New Roman"/>
                  <w:bCs/>
                  <w:sz w:val="24"/>
                  <w:szCs w:val="24"/>
                </w:rPr>
                <w:tab/>
                <w:t>Introduction</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FA17BB" w:rsidRPr="00E54204">
                <w:rPr>
                  <w:rFonts w:ascii="Times New Roman" w:hAnsi="Times New Roman" w:cs="Times New Roman"/>
                  <w:bCs/>
                  <w:sz w:val="24"/>
                  <w:szCs w:val="24"/>
                </w:rPr>
                <w:t>2</w:t>
              </w:r>
            </w:p>
            <w:p w14:paraId="70E7C18A"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II.</w:t>
              </w:r>
              <w:r w:rsidRPr="00E54204">
                <w:rPr>
                  <w:rFonts w:ascii="Times New Roman" w:hAnsi="Times New Roman" w:cs="Times New Roman"/>
                  <w:bCs/>
                  <w:sz w:val="24"/>
                  <w:szCs w:val="24"/>
                </w:rPr>
                <w:tab/>
                <w:t xml:space="preserve">Cyclopedia of Biblical Literature </w:t>
              </w:r>
              <w:r w:rsidR="005472B8" w:rsidRPr="00E54204">
                <w:rPr>
                  <w:rFonts w:ascii="Times New Roman" w:hAnsi="Times New Roman" w:cs="Times New Roman"/>
                  <w:bCs/>
                  <w:sz w:val="24"/>
                  <w:szCs w:val="24"/>
                </w:rPr>
                <w:t>(article by John Nicholson, 1858</w:t>
              </w:r>
              <w:r w:rsidRPr="00E54204">
                <w:rPr>
                  <w:rFonts w:ascii="Times New Roman" w:hAnsi="Times New Roman" w:cs="Times New Roman"/>
                  <w:bCs/>
                  <w:sz w:val="24"/>
                  <w:szCs w:val="24"/>
                </w:rPr>
                <w:t>)</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FA17BB" w:rsidRPr="00E54204">
                <w:rPr>
                  <w:rFonts w:ascii="Times New Roman" w:hAnsi="Times New Roman" w:cs="Times New Roman"/>
                  <w:bCs/>
                  <w:sz w:val="24"/>
                  <w:szCs w:val="24"/>
                </w:rPr>
                <w:t>3</w:t>
              </w:r>
            </w:p>
            <w:p w14:paraId="05F8C066" w14:textId="77777777" w:rsidR="007B7D3B" w:rsidRPr="00E54204" w:rsidRDefault="007B7D3B" w:rsidP="007B7D3B">
              <w:pPr>
                <w:pStyle w:val="TOC1"/>
                <w:spacing w:after="0" w:line="240" w:lineRule="auto"/>
                <w:ind w:left="720" w:hanging="720"/>
                <w:rPr>
                  <w:rFonts w:ascii="Times New Roman" w:hAnsi="Times New Roman" w:cs="Times New Roman"/>
                  <w:sz w:val="24"/>
                  <w:szCs w:val="24"/>
                </w:rPr>
              </w:pPr>
              <w:r w:rsidRPr="00E54204">
                <w:rPr>
                  <w:rFonts w:ascii="Times New Roman" w:hAnsi="Times New Roman" w:cs="Times New Roman"/>
                  <w:bCs/>
                  <w:sz w:val="24"/>
                  <w:szCs w:val="24"/>
                </w:rPr>
                <w:t>III.</w:t>
              </w:r>
              <w:r w:rsidRPr="00E54204">
                <w:rPr>
                  <w:rFonts w:ascii="Times New Roman" w:hAnsi="Times New Roman" w:cs="Times New Roman"/>
                  <w:bCs/>
                  <w:sz w:val="24"/>
                  <w:szCs w:val="24"/>
                </w:rPr>
                <w:tab/>
                <w:t>“Ancient Traditions of Supernatural Voices (Bath-Kol)” (article by S. Louis, 1893)</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FA17BB" w:rsidRPr="00E54204">
                <w:rPr>
                  <w:rFonts w:ascii="Times New Roman" w:hAnsi="Times New Roman" w:cs="Times New Roman"/>
                  <w:bCs/>
                  <w:sz w:val="24"/>
                  <w:szCs w:val="24"/>
                </w:rPr>
                <w:t>4</w:t>
              </w:r>
            </w:p>
            <w:p w14:paraId="32F9C6DF"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IV.</w:t>
              </w:r>
              <w:r w:rsidRPr="00E54204">
                <w:rPr>
                  <w:rFonts w:ascii="Times New Roman" w:hAnsi="Times New Roman" w:cs="Times New Roman"/>
                  <w:bCs/>
                  <w:sz w:val="24"/>
                  <w:szCs w:val="24"/>
                </w:rPr>
                <w:tab/>
                <w:t>From Letter to Spirit by Edwin A. Abbott (1903)</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FA17BB" w:rsidRPr="00E54204">
                <w:rPr>
                  <w:rFonts w:ascii="Times New Roman" w:hAnsi="Times New Roman" w:cs="Times New Roman"/>
                  <w:bCs/>
                  <w:sz w:val="24"/>
                  <w:szCs w:val="24"/>
                </w:rPr>
                <w:t>5</w:t>
              </w:r>
            </w:p>
            <w:p w14:paraId="334F2D3B"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V.</w:t>
              </w:r>
              <w:r w:rsidRPr="00E54204">
                <w:rPr>
                  <w:rFonts w:ascii="Times New Roman" w:hAnsi="Times New Roman" w:cs="Times New Roman"/>
                  <w:bCs/>
                  <w:sz w:val="24"/>
                  <w:szCs w:val="24"/>
                </w:rPr>
                <w:tab/>
                <w:t>Jewish Encyclopedia (article by Ludwig Blau and Kauffmann Kohler, 1906)</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FA17BB" w:rsidRPr="00E54204">
                <w:rPr>
                  <w:rFonts w:ascii="Times New Roman" w:hAnsi="Times New Roman" w:cs="Times New Roman"/>
                  <w:bCs/>
                  <w:sz w:val="24"/>
                  <w:szCs w:val="24"/>
                </w:rPr>
                <w:t>7</w:t>
              </w:r>
            </w:p>
            <w:p w14:paraId="7F871090"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VI.</w:t>
              </w:r>
              <w:r w:rsidRPr="00E54204">
                <w:rPr>
                  <w:rFonts w:ascii="Times New Roman" w:hAnsi="Times New Roman" w:cs="Times New Roman"/>
                  <w:bCs/>
                  <w:sz w:val="24"/>
                  <w:szCs w:val="24"/>
                </w:rPr>
                <w:tab/>
                <w:t>Judaism in the First Centuries of the Christian Era by George F. Moore (1927)</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FA17BB" w:rsidRPr="00E54204">
                <w:rPr>
                  <w:rFonts w:ascii="Times New Roman" w:hAnsi="Times New Roman" w:cs="Times New Roman"/>
                  <w:bCs/>
                  <w:sz w:val="24"/>
                  <w:szCs w:val="24"/>
                </w:rPr>
                <w:t>9</w:t>
              </w:r>
            </w:p>
            <w:p w14:paraId="7B93663C" w14:textId="77777777" w:rsidR="007B7D3B" w:rsidRPr="00E54204" w:rsidRDefault="007B7D3B" w:rsidP="007B7D3B">
              <w:pPr>
                <w:pStyle w:val="TOC1"/>
                <w:spacing w:after="0" w:line="240" w:lineRule="auto"/>
                <w:ind w:left="720" w:hanging="720"/>
                <w:rPr>
                  <w:rFonts w:ascii="Times New Roman" w:hAnsi="Times New Roman" w:cs="Times New Roman"/>
                  <w:sz w:val="24"/>
                  <w:szCs w:val="24"/>
                </w:rPr>
              </w:pPr>
              <w:r w:rsidRPr="00E54204">
                <w:rPr>
                  <w:rFonts w:ascii="Times New Roman" w:hAnsi="Times New Roman" w:cs="Times New Roman"/>
                  <w:bCs/>
                  <w:sz w:val="24"/>
                  <w:szCs w:val="24"/>
                </w:rPr>
                <w:t>VII.</w:t>
              </w:r>
              <w:r w:rsidRPr="00E54204">
                <w:rPr>
                  <w:rFonts w:ascii="Times New Roman" w:hAnsi="Times New Roman" w:cs="Times New Roman"/>
                  <w:bCs/>
                  <w:sz w:val="24"/>
                  <w:szCs w:val="24"/>
                </w:rPr>
                <w:tab/>
                <w:t>The Significance of Miracles in Talmudic Judaism by Alexander Guttmann (1947)</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20</w:t>
              </w:r>
            </w:p>
            <w:p w14:paraId="60C60ACC"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VIII.</w:t>
              </w:r>
              <w:r w:rsidRPr="00E54204">
                <w:rPr>
                  <w:rFonts w:ascii="Times New Roman" w:hAnsi="Times New Roman" w:cs="Times New Roman"/>
                  <w:bCs/>
                  <w:sz w:val="24"/>
                  <w:szCs w:val="24"/>
                </w:rPr>
                <w:tab/>
                <w:t>Studies in Jewish Theology by Arthur Marmorstein (1950)</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sz w:val="24"/>
                  <w:szCs w:val="24"/>
                </w:rPr>
                <w:t>2</w:t>
              </w:r>
              <w:r w:rsidRPr="00E54204">
                <w:rPr>
                  <w:rFonts w:ascii="Times New Roman" w:hAnsi="Times New Roman" w:cs="Times New Roman"/>
                  <w:bCs/>
                  <w:sz w:val="24"/>
                  <w:szCs w:val="24"/>
                </w:rPr>
                <w:t>1</w:t>
              </w:r>
            </w:p>
            <w:p w14:paraId="28992FD1"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IX.</w:t>
              </w:r>
              <w:r w:rsidRPr="00E54204">
                <w:rPr>
                  <w:rFonts w:ascii="Times New Roman" w:hAnsi="Times New Roman" w:cs="Times New Roman"/>
                  <w:bCs/>
                  <w:sz w:val="24"/>
                  <w:szCs w:val="24"/>
                </w:rPr>
                <w:tab/>
                <w:t>Hellenism in Jewish Palestine by Saul Lieberman (1950)</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22</w:t>
              </w:r>
            </w:p>
            <w:p w14:paraId="17CC3A7F"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X.</w:t>
              </w:r>
              <w:r w:rsidRPr="00E54204">
                <w:rPr>
                  <w:rFonts w:ascii="Times New Roman" w:hAnsi="Times New Roman" w:cs="Times New Roman"/>
                  <w:bCs/>
                  <w:sz w:val="24"/>
                  <w:szCs w:val="24"/>
                </w:rPr>
                <w:tab/>
                <w:t>The Rabbinic Mind by Max Kadushin (1952)</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24</w:t>
              </w:r>
            </w:p>
            <w:p w14:paraId="10ECDE40"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XI.</w:t>
              </w:r>
              <w:r w:rsidRPr="00E54204">
                <w:rPr>
                  <w:rFonts w:ascii="Times New Roman" w:hAnsi="Times New Roman" w:cs="Times New Roman"/>
                  <w:bCs/>
                  <w:sz w:val="24"/>
                  <w:szCs w:val="24"/>
                </w:rPr>
                <w:tab/>
                <w:t>Prophetic Inspiration after the Prophets by Abraham J. Heschel (1966)</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24</w:t>
              </w:r>
            </w:p>
            <w:p w14:paraId="6A16F4FF"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XII.</w:t>
              </w:r>
              <w:r w:rsidRPr="00E54204">
                <w:rPr>
                  <w:rFonts w:ascii="Times New Roman" w:hAnsi="Times New Roman" w:cs="Times New Roman"/>
                  <w:bCs/>
                  <w:sz w:val="24"/>
                  <w:szCs w:val="24"/>
                </w:rPr>
                <w:tab/>
                <w:t>Theological Dictionary of the N.T., “Φωνή” (article by Otto Betz, 1974)</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25</w:t>
              </w:r>
            </w:p>
            <w:p w14:paraId="0DC1B9E0"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XIII.</w:t>
              </w:r>
              <w:r w:rsidRPr="00E54204">
                <w:rPr>
                  <w:rFonts w:ascii="Times New Roman" w:hAnsi="Times New Roman" w:cs="Times New Roman"/>
                  <w:bCs/>
                  <w:sz w:val="24"/>
                  <w:szCs w:val="24"/>
                </w:rPr>
                <w:tab/>
                <w:t>Essays in Jewish Thought by Nahum Glatzer (1978)</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27</w:t>
              </w:r>
            </w:p>
            <w:p w14:paraId="5C0474AE" w14:textId="77777777" w:rsidR="007B7D3B" w:rsidRPr="00E54204" w:rsidRDefault="00CB0865" w:rsidP="007B7D3B">
              <w:pPr>
                <w:pStyle w:val="TOC1"/>
                <w:spacing w:after="0" w:line="240" w:lineRule="auto"/>
                <w:ind w:left="720" w:hanging="720"/>
                <w:rPr>
                  <w:rFonts w:ascii="Times New Roman" w:hAnsi="Times New Roman" w:cs="Times New Roman"/>
                  <w:sz w:val="24"/>
                  <w:szCs w:val="24"/>
                </w:rPr>
              </w:pPr>
              <w:r w:rsidRPr="00E54204">
                <w:rPr>
                  <w:rFonts w:ascii="Times New Roman" w:hAnsi="Times New Roman" w:cs="Times New Roman"/>
                  <w:bCs/>
                  <w:sz w:val="24"/>
                  <w:szCs w:val="24"/>
                </w:rPr>
                <w:t>XIV</w:t>
              </w:r>
              <w:r w:rsidR="007B7D3B" w:rsidRPr="00E54204">
                <w:rPr>
                  <w:rFonts w:ascii="Times New Roman" w:hAnsi="Times New Roman" w:cs="Times New Roman"/>
                  <w:bCs/>
                  <w:sz w:val="24"/>
                  <w:szCs w:val="24"/>
                </w:rPr>
                <w:t>.</w:t>
              </w:r>
              <w:r w:rsidR="007B7D3B" w:rsidRPr="00E54204">
                <w:rPr>
                  <w:rFonts w:ascii="Times New Roman" w:hAnsi="Times New Roman" w:cs="Times New Roman"/>
                  <w:bCs/>
                  <w:sz w:val="24"/>
                  <w:szCs w:val="24"/>
                </w:rPr>
                <w:tab/>
                <w:t>Revelation and Mystery in Ancient Judaism and Pauline Christianity by Markus Bockmuehl (1990)</w:t>
              </w:r>
              <w:r w:rsidR="007B7D3B"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28</w:t>
              </w:r>
            </w:p>
            <w:p w14:paraId="31FD1ACB" w14:textId="77777777" w:rsidR="007B7D3B" w:rsidRPr="00E54204" w:rsidRDefault="007B7D3B" w:rsidP="007B7D3B">
              <w:pPr>
                <w:pStyle w:val="TOC1"/>
                <w:spacing w:after="0" w:line="240" w:lineRule="auto"/>
                <w:ind w:left="720" w:hanging="720"/>
                <w:rPr>
                  <w:rFonts w:ascii="Times New Roman" w:hAnsi="Times New Roman" w:cs="Times New Roman"/>
                  <w:sz w:val="24"/>
                  <w:szCs w:val="24"/>
                </w:rPr>
              </w:pPr>
              <w:r w:rsidRPr="00E54204">
                <w:rPr>
                  <w:rFonts w:ascii="Times New Roman" w:hAnsi="Times New Roman" w:cs="Times New Roman"/>
                  <w:bCs/>
                  <w:sz w:val="24"/>
                  <w:szCs w:val="24"/>
                </w:rPr>
                <w:t>XV.</w:t>
              </w:r>
              <w:r w:rsidRPr="00E54204">
                <w:rPr>
                  <w:rFonts w:ascii="Times New Roman" w:hAnsi="Times New Roman" w:cs="Times New Roman"/>
                  <w:bCs/>
                  <w:sz w:val="24"/>
                  <w:szCs w:val="24"/>
                </w:rPr>
                <w:tab/>
                <w:t>Prophetic Figures in Late Second Temple Jewish Palestine by Rebecca Gray (1993)</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29</w:t>
              </w:r>
            </w:p>
            <w:p w14:paraId="55F9A095"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XVI.</w:t>
              </w:r>
              <w:r w:rsidRPr="00E54204">
                <w:rPr>
                  <w:rFonts w:ascii="Times New Roman" w:hAnsi="Times New Roman" w:cs="Times New Roman"/>
                  <w:bCs/>
                  <w:sz w:val="24"/>
                  <w:szCs w:val="24"/>
                </w:rPr>
                <w:tab/>
                <w:t>The Sinner and the Amnesiac by Alon Goshen Gottstein (2000)</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31</w:t>
              </w:r>
            </w:p>
            <w:p w14:paraId="64924EDD"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XVII.</w:t>
              </w:r>
              <w:r w:rsidRPr="00E54204">
                <w:rPr>
                  <w:rFonts w:ascii="Times New Roman" w:hAnsi="Times New Roman" w:cs="Times New Roman"/>
                  <w:bCs/>
                  <w:sz w:val="24"/>
                  <w:szCs w:val="24"/>
                </w:rPr>
                <w:tab/>
                <w:t>Encyclopedia Judaica “Bat Kol” (article by Aaron Rothkoff, 2007)</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33</w:t>
              </w:r>
            </w:p>
            <w:p w14:paraId="5BE87336"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XVIII.</w:t>
              </w:r>
              <w:r w:rsidRPr="00E54204">
                <w:rPr>
                  <w:rFonts w:ascii="Times New Roman" w:hAnsi="Times New Roman" w:cs="Times New Roman"/>
                  <w:bCs/>
                  <w:sz w:val="24"/>
                  <w:szCs w:val="24"/>
                </w:rPr>
                <w:tab/>
                <w:t>Elijah and the Rabbis by Kristen H. Lindbeck (2010)</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33</w:t>
              </w:r>
            </w:p>
            <w:p w14:paraId="7F98D347" w14:textId="77777777" w:rsidR="007B7D3B" w:rsidRPr="00E54204" w:rsidRDefault="007B7D3B" w:rsidP="007B7D3B">
              <w:pPr>
                <w:pStyle w:val="TOC1"/>
                <w:spacing w:after="0" w:line="240" w:lineRule="auto"/>
                <w:ind w:left="720" w:hanging="720"/>
                <w:rPr>
                  <w:rFonts w:ascii="Times New Roman" w:hAnsi="Times New Roman" w:cs="Times New Roman"/>
                  <w:sz w:val="24"/>
                  <w:szCs w:val="24"/>
                </w:rPr>
              </w:pPr>
              <w:r w:rsidRPr="00E54204">
                <w:rPr>
                  <w:rFonts w:ascii="Times New Roman" w:hAnsi="Times New Roman" w:cs="Times New Roman"/>
                  <w:bCs/>
                  <w:sz w:val="24"/>
                  <w:szCs w:val="24"/>
                </w:rPr>
                <w:t>XVIIII.</w:t>
              </w:r>
              <w:r w:rsidR="009B0062">
                <w:rPr>
                  <w:rFonts w:ascii="Times New Roman" w:hAnsi="Times New Roman" w:cs="Times New Roman"/>
                  <w:bCs/>
                  <w:sz w:val="24"/>
                  <w:szCs w:val="24"/>
                </w:rPr>
                <w:t>On the Question of the “</w:t>
              </w:r>
              <w:r w:rsidR="00FA17BB" w:rsidRPr="00E54204">
                <w:rPr>
                  <w:rFonts w:ascii="Times New Roman" w:hAnsi="Times New Roman" w:cs="Times New Roman"/>
                  <w:bCs/>
                  <w:sz w:val="24"/>
                  <w:szCs w:val="24"/>
                </w:rPr>
                <w:t>Cessation of P</w:t>
              </w:r>
              <w:r w:rsidR="009B0062">
                <w:rPr>
                  <w:rFonts w:ascii="Times New Roman" w:hAnsi="Times New Roman" w:cs="Times New Roman"/>
                  <w:bCs/>
                  <w:sz w:val="24"/>
                  <w:szCs w:val="24"/>
                </w:rPr>
                <w:t>rophecy”</w:t>
              </w:r>
              <w:r w:rsidRPr="00E54204">
                <w:rPr>
                  <w:rFonts w:ascii="Times New Roman" w:hAnsi="Times New Roman" w:cs="Times New Roman"/>
                  <w:bCs/>
                  <w:sz w:val="24"/>
                  <w:szCs w:val="24"/>
                </w:rPr>
                <w:t xml:space="preserve"> </w:t>
              </w:r>
              <w:r w:rsidR="009B0062">
                <w:rPr>
                  <w:rFonts w:ascii="Times New Roman" w:hAnsi="Times New Roman" w:cs="Times New Roman"/>
                  <w:bCs/>
                  <w:sz w:val="24"/>
                  <w:szCs w:val="24"/>
                </w:rPr>
                <w:t xml:space="preserve">in Ancient Judaism </w:t>
              </w:r>
              <w:r w:rsidRPr="00E54204">
                <w:rPr>
                  <w:rFonts w:ascii="Times New Roman" w:hAnsi="Times New Roman" w:cs="Times New Roman"/>
                  <w:bCs/>
                  <w:sz w:val="24"/>
                  <w:szCs w:val="24"/>
                </w:rPr>
                <w:t>by L. Stephen Cook (2011)</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34</w:t>
              </w:r>
            </w:p>
            <w:p w14:paraId="24EE43E1" w14:textId="77777777" w:rsidR="007B7D3B" w:rsidRPr="00E54204" w:rsidRDefault="007B7D3B" w:rsidP="007B7D3B">
              <w:pPr>
                <w:pStyle w:val="TOC1"/>
                <w:spacing w:after="0" w:line="240" w:lineRule="auto"/>
                <w:rPr>
                  <w:rFonts w:ascii="Times New Roman" w:hAnsi="Times New Roman" w:cs="Times New Roman"/>
                  <w:bCs/>
                  <w:sz w:val="24"/>
                  <w:szCs w:val="24"/>
                </w:rPr>
              </w:pPr>
              <w:r w:rsidRPr="00E54204">
                <w:rPr>
                  <w:rFonts w:ascii="Times New Roman" w:hAnsi="Times New Roman" w:cs="Times New Roman"/>
                  <w:bCs/>
                  <w:sz w:val="24"/>
                  <w:szCs w:val="24"/>
                </w:rPr>
                <w:t>XX.</w:t>
              </w:r>
              <w:r w:rsidRPr="00E54204">
                <w:rPr>
                  <w:rFonts w:ascii="Times New Roman" w:hAnsi="Times New Roman" w:cs="Times New Roman"/>
                  <w:bCs/>
                  <w:sz w:val="24"/>
                  <w:szCs w:val="24"/>
                </w:rPr>
                <w:tab/>
                <w:t>Conclusion</w:t>
              </w:r>
              <w:r w:rsidRPr="00E54204">
                <w:rPr>
                  <w:rFonts w:ascii="Times New Roman" w:hAnsi="Times New Roman" w:cs="Times New Roman"/>
                  <w:sz w:val="24"/>
                  <w:szCs w:val="24"/>
                </w:rPr>
                <w:ptab w:relativeTo="margin" w:alignment="right" w:leader="dot"/>
              </w:r>
              <w:r w:rsidR="00FA17BB" w:rsidRPr="00E54204">
                <w:rPr>
                  <w:rFonts w:ascii="Times New Roman" w:hAnsi="Times New Roman" w:cs="Times New Roman"/>
                  <w:bCs/>
                  <w:sz w:val="24"/>
                  <w:szCs w:val="24"/>
                </w:rPr>
                <w:t>35</w:t>
              </w:r>
            </w:p>
            <w:p w14:paraId="63AED698" w14:textId="77777777" w:rsidR="007B7D3B" w:rsidRPr="00E54204" w:rsidRDefault="007B7D3B" w:rsidP="007B7D3B">
              <w:pPr>
                <w:rPr>
                  <w:lang w:eastAsia="ja-JP"/>
                </w:rPr>
              </w:pPr>
            </w:p>
            <w:p w14:paraId="456B667A"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ORIGINS</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40</w:t>
              </w:r>
            </w:p>
            <w:p w14:paraId="44472751"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w:t>
              </w:r>
              <w:r w:rsidRPr="00E54204">
                <w:rPr>
                  <w:rFonts w:ascii="Times New Roman" w:hAnsi="Times New Roman" w:cs="Times New Roman"/>
                  <w:bCs/>
                  <w:sz w:val="24"/>
                  <w:szCs w:val="24"/>
                </w:rPr>
                <w:tab/>
                <w:t>Introduction</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40</w:t>
              </w:r>
            </w:p>
            <w:p w14:paraId="78BC35D3" w14:textId="77777777" w:rsidR="007B7D3B" w:rsidRPr="00E54204" w:rsidRDefault="00033751" w:rsidP="007B7D3B">
              <w:pPr>
                <w:pStyle w:val="TOC1"/>
                <w:spacing w:after="0" w:line="240" w:lineRule="auto"/>
                <w:ind w:firstLine="720"/>
                <w:rPr>
                  <w:rFonts w:ascii="Times New Roman" w:hAnsi="Times New Roman" w:cs="Times New Roman"/>
                  <w:sz w:val="24"/>
                  <w:szCs w:val="24"/>
                </w:rPr>
              </w:pPr>
              <w:r>
                <w:rPr>
                  <w:rFonts w:ascii="Times New Roman" w:hAnsi="Times New Roman" w:cs="Times New Roman"/>
                  <w:bCs/>
                  <w:sz w:val="24"/>
                  <w:szCs w:val="24"/>
                </w:rPr>
                <w:t>A.</w:t>
              </w:r>
              <w:r>
                <w:rPr>
                  <w:rFonts w:ascii="Times New Roman" w:hAnsi="Times New Roman" w:cs="Times New Roman"/>
                  <w:bCs/>
                  <w:sz w:val="24"/>
                  <w:szCs w:val="24"/>
                </w:rPr>
                <w:tab/>
                <w:t>End</w:t>
              </w:r>
              <w:r w:rsidR="007B7D3B" w:rsidRPr="00E54204">
                <w:rPr>
                  <w:rFonts w:ascii="Times New Roman" w:hAnsi="Times New Roman" w:cs="Times New Roman"/>
                  <w:bCs/>
                  <w:sz w:val="24"/>
                  <w:szCs w:val="24"/>
                </w:rPr>
                <w:t xml:space="preserve"> of Prophecy</w:t>
              </w:r>
              <w:r w:rsidR="007B7D3B"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43</w:t>
              </w:r>
            </w:p>
            <w:p w14:paraId="6769D2F7" w14:textId="77777777" w:rsidR="007B7D3B" w:rsidRPr="00E54204" w:rsidRDefault="007B7D3B" w:rsidP="007B7D3B">
              <w:pPr>
                <w:pStyle w:val="TOC1"/>
                <w:spacing w:after="0" w:line="240" w:lineRule="auto"/>
                <w:ind w:firstLine="720"/>
                <w:rPr>
                  <w:rFonts w:ascii="Times New Roman" w:hAnsi="Times New Roman" w:cs="Times New Roman"/>
                  <w:bCs/>
                  <w:sz w:val="24"/>
                  <w:szCs w:val="24"/>
                </w:rPr>
              </w:pPr>
              <w:r w:rsidRPr="00E54204">
                <w:rPr>
                  <w:rFonts w:ascii="Times New Roman" w:hAnsi="Times New Roman" w:cs="Times New Roman"/>
                  <w:bCs/>
                  <w:sz w:val="24"/>
                  <w:szCs w:val="24"/>
                </w:rPr>
                <w:t>B.</w:t>
              </w:r>
              <w:r w:rsidRPr="00E54204">
                <w:rPr>
                  <w:rFonts w:ascii="Times New Roman" w:hAnsi="Times New Roman" w:cs="Times New Roman"/>
                  <w:bCs/>
                  <w:sz w:val="24"/>
                  <w:szCs w:val="24"/>
                </w:rPr>
                <w:tab/>
                <w:t>Approach</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47</w:t>
              </w:r>
            </w:p>
            <w:p w14:paraId="61CF3C8C"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II.</w:t>
              </w:r>
              <w:r w:rsidRPr="00E54204">
                <w:rPr>
                  <w:rFonts w:ascii="Times New Roman" w:hAnsi="Times New Roman" w:cs="Times New Roman"/>
                  <w:bCs/>
                  <w:sz w:val="24"/>
                  <w:szCs w:val="24"/>
                </w:rPr>
                <w:tab/>
                <w:t>Rabbinic Literary Categories, Biblical and Apocalyptic Literatures</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48</w:t>
              </w:r>
            </w:p>
            <w:p w14:paraId="6652B97F"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lastRenderedPageBreak/>
                <w:t>A.</w:t>
              </w:r>
              <w:r w:rsidRPr="00E54204">
                <w:rPr>
                  <w:rFonts w:ascii="Times New Roman" w:hAnsi="Times New Roman" w:cs="Times New Roman"/>
                  <w:bCs/>
                  <w:sz w:val="24"/>
                  <w:szCs w:val="24"/>
                </w:rPr>
                <w:tab/>
                <w:t>Biblical Examples:</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sz w:val="24"/>
                  <w:szCs w:val="24"/>
                </w:rPr>
                <w:t>5</w:t>
              </w:r>
              <w:r w:rsidRPr="00E54204">
                <w:rPr>
                  <w:rFonts w:ascii="Times New Roman" w:hAnsi="Times New Roman" w:cs="Times New Roman"/>
                  <w:bCs/>
                  <w:sz w:val="24"/>
                  <w:szCs w:val="24"/>
                </w:rPr>
                <w:t>1</w:t>
              </w:r>
            </w:p>
            <w:p w14:paraId="0EA339E5"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t>B.</w:t>
              </w:r>
              <w:r w:rsidRPr="00E54204">
                <w:rPr>
                  <w:rFonts w:ascii="Times New Roman" w:hAnsi="Times New Roman" w:cs="Times New Roman"/>
                  <w:bCs/>
                  <w:sz w:val="24"/>
                  <w:szCs w:val="24"/>
                </w:rPr>
                <w:tab/>
                <w:t>Apocalypticism:</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63</w:t>
              </w:r>
            </w:p>
            <w:p w14:paraId="26F0CA3A"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t>C.</w:t>
              </w:r>
              <w:r w:rsidRPr="00E54204">
                <w:rPr>
                  <w:rFonts w:ascii="Times New Roman" w:hAnsi="Times New Roman" w:cs="Times New Roman"/>
                  <w:bCs/>
                  <w:sz w:val="24"/>
                  <w:szCs w:val="24"/>
                </w:rPr>
                <w:tab/>
                <w:t>Greek Writings:</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74</w:t>
              </w:r>
            </w:p>
            <w:p w14:paraId="7E8AEA35"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t>D.</w:t>
              </w:r>
              <w:r w:rsidRPr="00E54204">
                <w:rPr>
                  <w:rFonts w:ascii="Times New Roman" w:hAnsi="Times New Roman" w:cs="Times New Roman"/>
                  <w:bCs/>
                  <w:sz w:val="24"/>
                  <w:szCs w:val="24"/>
                </w:rPr>
                <w:tab/>
                <w:t>Josephus:</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76</w:t>
              </w:r>
            </w:p>
            <w:p w14:paraId="3247FCF9" w14:textId="77777777" w:rsidR="007B7D3B" w:rsidRPr="00E54204" w:rsidRDefault="007B7D3B" w:rsidP="007B7D3B">
              <w:pPr>
                <w:pStyle w:val="TOC1"/>
                <w:spacing w:after="0" w:line="240" w:lineRule="auto"/>
                <w:rPr>
                  <w:rFonts w:ascii="Times New Roman" w:hAnsi="Times New Roman" w:cs="Times New Roman"/>
                  <w:bCs/>
                  <w:sz w:val="24"/>
                  <w:szCs w:val="24"/>
                </w:rPr>
              </w:pPr>
              <w:r w:rsidRPr="00E54204">
                <w:rPr>
                  <w:rFonts w:ascii="Times New Roman" w:hAnsi="Times New Roman" w:cs="Times New Roman"/>
                  <w:bCs/>
                  <w:sz w:val="24"/>
                  <w:szCs w:val="24"/>
                </w:rPr>
                <w:t>III.</w:t>
              </w:r>
              <w:r w:rsidRPr="00E54204">
                <w:rPr>
                  <w:rFonts w:ascii="Times New Roman" w:hAnsi="Times New Roman" w:cs="Times New Roman"/>
                  <w:bCs/>
                  <w:sz w:val="24"/>
                  <w:szCs w:val="24"/>
                </w:rPr>
                <w:tab/>
                <w:t>Conclusion</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bCs/>
                  <w:sz w:val="24"/>
                  <w:szCs w:val="24"/>
                </w:rPr>
                <w:t>79</w:t>
              </w:r>
            </w:p>
            <w:p w14:paraId="0EC0B0E8" w14:textId="77777777" w:rsidR="007B7D3B" w:rsidRPr="00E54204" w:rsidRDefault="007B7D3B" w:rsidP="007B7D3B">
              <w:pPr>
                <w:rPr>
                  <w:lang w:eastAsia="ja-JP"/>
                </w:rPr>
              </w:pPr>
            </w:p>
            <w:p w14:paraId="114F5C99"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CATEGORIES</w:t>
              </w:r>
              <w:r w:rsidRPr="00E54204">
                <w:rPr>
                  <w:rFonts w:ascii="Times New Roman" w:hAnsi="Times New Roman" w:cs="Times New Roman"/>
                  <w:sz w:val="24"/>
                  <w:szCs w:val="24"/>
                </w:rPr>
                <w:ptab w:relativeTo="margin" w:alignment="right" w:leader="dot"/>
              </w:r>
              <w:r w:rsidR="00073BBB" w:rsidRPr="00E54204">
                <w:rPr>
                  <w:rFonts w:ascii="Times New Roman" w:hAnsi="Times New Roman" w:cs="Times New Roman"/>
                  <w:sz w:val="24"/>
                  <w:szCs w:val="24"/>
                </w:rPr>
                <w:t>8</w:t>
              </w:r>
              <w:r w:rsidRPr="00E54204">
                <w:rPr>
                  <w:rFonts w:ascii="Times New Roman" w:hAnsi="Times New Roman" w:cs="Times New Roman"/>
                  <w:bCs/>
                  <w:sz w:val="24"/>
                  <w:szCs w:val="24"/>
                </w:rPr>
                <w:t>1</w:t>
              </w:r>
            </w:p>
            <w:p w14:paraId="2CA0026B"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w:t>
              </w:r>
              <w:r w:rsidRPr="00E54204">
                <w:rPr>
                  <w:rFonts w:ascii="Times New Roman" w:hAnsi="Times New Roman" w:cs="Times New Roman"/>
                  <w:bCs/>
                  <w:sz w:val="24"/>
                  <w:szCs w:val="24"/>
                </w:rPr>
                <w:tab/>
                <w:t>Introduction</w:t>
              </w:r>
              <w:r w:rsidRPr="00E54204">
                <w:rPr>
                  <w:rFonts w:ascii="Times New Roman" w:hAnsi="Times New Roman" w:cs="Times New Roman"/>
                  <w:sz w:val="24"/>
                  <w:szCs w:val="24"/>
                </w:rPr>
                <w:ptab w:relativeTo="margin" w:alignment="right" w:leader="dot"/>
              </w:r>
              <w:r w:rsidR="002140BA" w:rsidRPr="00E54204">
                <w:rPr>
                  <w:rFonts w:ascii="Times New Roman" w:hAnsi="Times New Roman" w:cs="Times New Roman"/>
                  <w:sz w:val="24"/>
                  <w:szCs w:val="24"/>
                </w:rPr>
                <w:t>8</w:t>
              </w:r>
              <w:r w:rsidRPr="00E54204">
                <w:rPr>
                  <w:rFonts w:ascii="Times New Roman" w:hAnsi="Times New Roman" w:cs="Times New Roman"/>
                  <w:bCs/>
                  <w:sz w:val="24"/>
                  <w:szCs w:val="24"/>
                </w:rPr>
                <w:t>1</w:t>
              </w:r>
            </w:p>
            <w:p w14:paraId="11899C7D"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t>A.</w:t>
              </w:r>
              <w:r w:rsidRPr="00E54204">
                <w:rPr>
                  <w:rFonts w:ascii="Times New Roman" w:hAnsi="Times New Roman" w:cs="Times New Roman"/>
                  <w:bCs/>
                  <w:sz w:val="24"/>
                  <w:szCs w:val="24"/>
                </w:rPr>
                <w:tab/>
                <w:t>The Talmud</w:t>
              </w:r>
              <w:r w:rsidR="00F83D13" w:rsidRPr="00E54204">
                <w:rPr>
                  <w:rFonts w:ascii="Times New Roman" w:hAnsi="Times New Roman" w:cs="Times New Roman"/>
                  <w:bCs/>
                  <w:sz w:val="24"/>
                  <w:szCs w:val="24"/>
                </w:rPr>
                <w:t>:</w:t>
              </w:r>
              <w:r w:rsidRPr="00E54204">
                <w:rPr>
                  <w:rFonts w:ascii="Times New Roman" w:hAnsi="Times New Roman" w:cs="Times New Roman"/>
                  <w:sz w:val="24"/>
                  <w:szCs w:val="24"/>
                </w:rPr>
                <w:ptab w:relativeTo="margin" w:alignment="right" w:leader="dot"/>
              </w:r>
              <w:r w:rsidR="002140BA" w:rsidRPr="00E54204">
                <w:rPr>
                  <w:rFonts w:ascii="Times New Roman" w:hAnsi="Times New Roman" w:cs="Times New Roman"/>
                  <w:bCs/>
                  <w:sz w:val="24"/>
                  <w:szCs w:val="24"/>
                </w:rPr>
                <w:t>84</w:t>
              </w:r>
            </w:p>
            <w:p w14:paraId="6745242D"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t>B.</w:t>
              </w:r>
              <w:r w:rsidRPr="00E54204">
                <w:rPr>
                  <w:rFonts w:ascii="Times New Roman" w:hAnsi="Times New Roman" w:cs="Times New Roman"/>
                  <w:bCs/>
                  <w:sz w:val="24"/>
                  <w:szCs w:val="24"/>
                </w:rPr>
                <w:tab/>
                <w:t>Haggadah:</w:t>
              </w:r>
              <w:r w:rsidRPr="00E54204">
                <w:rPr>
                  <w:rFonts w:ascii="Times New Roman" w:hAnsi="Times New Roman" w:cs="Times New Roman"/>
                  <w:sz w:val="24"/>
                  <w:szCs w:val="24"/>
                </w:rPr>
                <w:ptab w:relativeTo="margin" w:alignment="right" w:leader="dot"/>
              </w:r>
              <w:r w:rsidR="002140BA" w:rsidRPr="00E54204">
                <w:rPr>
                  <w:rFonts w:ascii="Times New Roman" w:hAnsi="Times New Roman" w:cs="Times New Roman"/>
                  <w:bCs/>
                  <w:sz w:val="24"/>
                  <w:szCs w:val="24"/>
                </w:rPr>
                <w:t>88</w:t>
              </w:r>
            </w:p>
            <w:p w14:paraId="6289B819"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II.</w:t>
              </w:r>
              <w:r w:rsidRPr="00E54204">
                <w:rPr>
                  <w:rFonts w:ascii="Times New Roman" w:hAnsi="Times New Roman" w:cs="Times New Roman"/>
                  <w:bCs/>
                  <w:sz w:val="24"/>
                  <w:szCs w:val="24"/>
                </w:rPr>
                <w:tab/>
                <w:t>The World to Come</w:t>
              </w:r>
              <w:r w:rsidRPr="00E54204">
                <w:rPr>
                  <w:rFonts w:ascii="Times New Roman" w:hAnsi="Times New Roman" w:cs="Times New Roman"/>
                  <w:sz w:val="24"/>
                  <w:szCs w:val="24"/>
                </w:rPr>
                <w:ptab w:relativeTo="margin" w:alignment="right" w:leader="dot"/>
              </w:r>
              <w:r w:rsidR="002140BA" w:rsidRPr="00E54204">
                <w:rPr>
                  <w:rFonts w:ascii="Times New Roman" w:hAnsi="Times New Roman" w:cs="Times New Roman"/>
                  <w:bCs/>
                  <w:sz w:val="24"/>
                  <w:szCs w:val="24"/>
                </w:rPr>
                <w:t>90</w:t>
              </w:r>
            </w:p>
            <w:p w14:paraId="58688A8C" w14:textId="77777777" w:rsidR="007B7D3B" w:rsidRPr="00E54204" w:rsidRDefault="00E31B4F" w:rsidP="00E31B4F">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III</w:t>
              </w:r>
              <w:r w:rsidR="007B7D3B" w:rsidRPr="00E54204">
                <w:rPr>
                  <w:rFonts w:ascii="Times New Roman" w:hAnsi="Times New Roman" w:cs="Times New Roman"/>
                  <w:bCs/>
                  <w:sz w:val="24"/>
                  <w:szCs w:val="24"/>
                </w:rPr>
                <w:t>.</w:t>
              </w:r>
              <w:r w:rsidR="007B7D3B" w:rsidRPr="00E54204">
                <w:rPr>
                  <w:rFonts w:ascii="Times New Roman" w:hAnsi="Times New Roman" w:cs="Times New Roman"/>
                  <w:bCs/>
                  <w:sz w:val="24"/>
                  <w:szCs w:val="24"/>
                </w:rPr>
                <w:tab/>
              </w:r>
              <w:r w:rsidR="004B6840" w:rsidRPr="00E54204">
                <w:rPr>
                  <w:rFonts w:ascii="Times New Roman" w:hAnsi="Times New Roman" w:cs="Times New Roman"/>
                  <w:bCs/>
                  <w:sz w:val="24"/>
                  <w:szCs w:val="24"/>
                </w:rPr>
                <w:t>Praise</w:t>
              </w:r>
              <w:r w:rsidR="007B7D3B" w:rsidRPr="00E54204">
                <w:rPr>
                  <w:rFonts w:ascii="Times New Roman" w:hAnsi="Times New Roman" w:cs="Times New Roman"/>
                  <w:bCs/>
                  <w:sz w:val="24"/>
                  <w:szCs w:val="24"/>
                </w:rPr>
                <w:t xml:space="preserve"> Toward Individuals</w:t>
              </w:r>
              <w:r w:rsidR="007B7D3B" w:rsidRPr="00E54204">
                <w:rPr>
                  <w:rFonts w:ascii="Times New Roman" w:hAnsi="Times New Roman" w:cs="Times New Roman"/>
                  <w:sz w:val="24"/>
                  <w:szCs w:val="24"/>
                </w:rPr>
                <w:ptab w:relativeTo="margin" w:alignment="right" w:leader="dot"/>
              </w:r>
              <w:r w:rsidR="007B7D3B" w:rsidRPr="00E54204">
                <w:rPr>
                  <w:rFonts w:ascii="Times New Roman" w:hAnsi="Times New Roman" w:cs="Times New Roman"/>
                  <w:bCs/>
                  <w:sz w:val="24"/>
                  <w:szCs w:val="24"/>
                </w:rPr>
                <w:t>1</w:t>
              </w:r>
              <w:r w:rsidR="004B6840" w:rsidRPr="00E54204">
                <w:rPr>
                  <w:rFonts w:ascii="Times New Roman" w:hAnsi="Times New Roman" w:cs="Times New Roman"/>
                  <w:bCs/>
                  <w:sz w:val="24"/>
                  <w:szCs w:val="24"/>
                </w:rPr>
                <w:t>04</w:t>
              </w:r>
            </w:p>
            <w:p w14:paraId="3D97F32D" w14:textId="77777777" w:rsidR="007B7D3B" w:rsidRPr="00E54204" w:rsidRDefault="00E31B4F"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IV</w:t>
              </w:r>
              <w:r w:rsidR="007B7D3B" w:rsidRPr="00E54204">
                <w:rPr>
                  <w:rFonts w:ascii="Times New Roman" w:hAnsi="Times New Roman" w:cs="Times New Roman"/>
                  <w:bCs/>
                  <w:sz w:val="24"/>
                  <w:szCs w:val="24"/>
                </w:rPr>
                <w:t>.</w:t>
              </w:r>
              <w:r w:rsidR="007B7D3B" w:rsidRPr="00E54204">
                <w:rPr>
                  <w:rFonts w:ascii="Times New Roman" w:hAnsi="Times New Roman" w:cs="Times New Roman"/>
                  <w:bCs/>
                  <w:sz w:val="24"/>
                  <w:szCs w:val="24"/>
                </w:rPr>
                <w:tab/>
                <w:t>Stories of Rebuke/Judgement</w:t>
              </w:r>
              <w:r w:rsidR="007B7D3B" w:rsidRPr="00E54204">
                <w:rPr>
                  <w:rFonts w:ascii="Times New Roman" w:hAnsi="Times New Roman" w:cs="Times New Roman"/>
                  <w:sz w:val="24"/>
                  <w:szCs w:val="24"/>
                </w:rPr>
                <w:ptab w:relativeTo="margin" w:alignment="right" w:leader="dot"/>
              </w:r>
              <w:r w:rsidR="007B7D3B"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09</w:t>
              </w:r>
            </w:p>
            <w:p w14:paraId="0958E8C8"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t>A.</w:t>
              </w:r>
              <w:r w:rsidRPr="00E54204">
                <w:rPr>
                  <w:rFonts w:ascii="Times New Roman" w:hAnsi="Times New Roman" w:cs="Times New Roman"/>
                  <w:bCs/>
                  <w:sz w:val="24"/>
                  <w:szCs w:val="24"/>
                </w:rPr>
                <w:tab/>
                <w:t>Retrojected on to Biblical Figures:</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09</w:t>
              </w:r>
            </w:p>
            <w:p w14:paraId="32E6F58F"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V.</w:t>
              </w:r>
              <w:r w:rsidRPr="00E54204">
                <w:rPr>
                  <w:rFonts w:ascii="Times New Roman" w:hAnsi="Times New Roman" w:cs="Times New Roman"/>
                  <w:bCs/>
                  <w:sz w:val="24"/>
                  <w:szCs w:val="24"/>
                </w:rPr>
                <w:tab/>
                <w:t>Halacha</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12</w:t>
              </w:r>
            </w:p>
            <w:p w14:paraId="61672B91"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t>A.</w:t>
              </w:r>
              <w:r w:rsidRPr="00E54204">
                <w:rPr>
                  <w:rFonts w:ascii="Times New Roman" w:hAnsi="Times New Roman" w:cs="Times New Roman"/>
                  <w:bCs/>
                  <w:sz w:val="24"/>
                  <w:szCs w:val="24"/>
                </w:rPr>
                <w:tab/>
              </w:r>
              <w:r w:rsidR="008206BF" w:rsidRPr="00E54204">
                <w:rPr>
                  <w:rFonts w:ascii="Times New Roman" w:hAnsi="Times New Roman" w:cs="Times New Roman"/>
                  <w:bCs/>
                  <w:sz w:val="24"/>
                  <w:szCs w:val="24"/>
                </w:rPr>
                <w:t>Hillel vs. Shammai:</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12</w:t>
              </w:r>
            </w:p>
            <w:p w14:paraId="4DFF317E" w14:textId="77777777" w:rsidR="007B7D3B" w:rsidRPr="00E54204" w:rsidRDefault="007B7D3B" w:rsidP="007B7D3B">
              <w:pPr>
                <w:pStyle w:val="TOC1"/>
                <w:spacing w:after="0" w:line="240" w:lineRule="auto"/>
                <w:ind w:firstLine="720"/>
                <w:rPr>
                  <w:rFonts w:ascii="Times New Roman" w:hAnsi="Times New Roman" w:cs="Times New Roman"/>
                  <w:sz w:val="24"/>
                  <w:szCs w:val="24"/>
                </w:rPr>
              </w:pPr>
              <w:r w:rsidRPr="00E54204">
                <w:rPr>
                  <w:rFonts w:ascii="Times New Roman" w:hAnsi="Times New Roman" w:cs="Times New Roman"/>
                  <w:bCs/>
                  <w:sz w:val="24"/>
                  <w:szCs w:val="24"/>
                </w:rPr>
                <w:t>B.</w:t>
              </w:r>
              <w:r w:rsidRPr="00E54204">
                <w:rPr>
                  <w:rFonts w:ascii="Times New Roman" w:hAnsi="Times New Roman" w:cs="Times New Roman"/>
                  <w:bCs/>
                  <w:sz w:val="24"/>
                  <w:szCs w:val="24"/>
                </w:rPr>
                <w:tab/>
              </w:r>
              <w:r w:rsidR="00E31B4F" w:rsidRPr="00E54204">
                <w:rPr>
                  <w:rFonts w:ascii="Times New Roman" w:hAnsi="Times New Roman" w:cs="Times New Roman"/>
                  <w:bCs/>
                  <w:sz w:val="24"/>
                  <w:szCs w:val="24"/>
                </w:rPr>
                <w:t>Rabbinic Authority and Morality</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17</w:t>
              </w:r>
            </w:p>
            <w:p w14:paraId="521A841E"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V</w:t>
              </w:r>
              <w:r w:rsidR="00E31B4F" w:rsidRPr="00E54204">
                <w:rPr>
                  <w:rFonts w:ascii="Times New Roman" w:hAnsi="Times New Roman" w:cs="Times New Roman"/>
                  <w:bCs/>
                  <w:sz w:val="24"/>
                  <w:szCs w:val="24"/>
                </w:rPr>
                <w:t>I</w:t>
              </w:r>
              <w:r w:rsidRPr="00E54204">
                <w:rPr>
                  <w:rFonts w:ascii="Times New Roman" w:hAnsi="Times New Roman" w:cs="Times New Roman"/>
                  <w:bCs/>
                  <w:sz w:val="24"/>
                  <w:szCs w:val="24"/>
                </w:rPr>
                <w:t>.</w:t>
              </w:r>
              <w:r w:rsidRPr="00E54204">
                <w:rPr>
                  <w:rFonts w:ascii="Times New Roman" w:hAnsi="Times New Roman" w:cs="Times New Roman"/>
                  <w:bCs/>
                  <w:sz w:val="24"/>
                  <w:szCs w:val="24"/>
                </w:rPr>
                <w:tab/>
                <w:t>Miscellaneous</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22</w:t>
              </w:r>
            </w:p>
            <w:p w14:paraId="5E4B4877" w14:textId="77777777" w:rsidR="007B7D3B" w:rsidRPr="00E54204" w:rsidRDefault="007B7D3B" w:rsidP="007B7D3B">
              <w:pPr>
                <w:pStyle w:val="TOC1"/>
                <w:spacing w:after="0" w:line="240" w:lineRule="auto"/>
                <w:rPr>
                  <w:rFonts w:ascii="Times New Roman" w:hAnsi="Times New Roman" w:cs="Times New Roman"/>
                  <w:bCs/>
                  <w:sz w:val="24"/>
                  <w:szCs w:val="24"/>
                </w:rPr>
              </w:pPr>
              <w:r w:rsidRPr="00E54204">
                <w:rPr>
                  <w:rFonts w:ascii="Times New Roman" w:hAnsi="Times New Roman" w:cs="Times New Roman"/>
                  <w:bCs/>
                  <w:sz w:val="24"/>
                  <w:szCs w:val="24"/>
                </w:rPr>
                <w:t>VI</w:t>
              </w:r>
              <w:r w:rsidR="00E31B4F" w:rsidRPr="00E54204">
                <w:rPr>
                  <w:rFonts w:ascii="Times New Roman" w:hAnsi="Times New Roman" w:cs="Times New Roman"/>
                  <w:bCs/>
                  <w:sz w:val="24"/>
                  <w:szCs w:val="24"/>
                </w:rPr>
                <w:t>I</w:t>
              </w:r>
              <w:r w:rsidRPr="00E54204">
                <w:rPr>
                  <w:rFonts w:ascii="Times New Roman" w:hAnsi="Times New Roman" w:cs="Times New Roman"/>
                  <w:bCs/>
                  <w:sz w:val="24"/>
                  <w:szCs w:val="24"/>
                </w:rPr>
                <w:t>.</w:t>
              </w:r>
              <w:r w:rsidRPr="00E54204">
                <w:rPr>
                  <w:rFonts w:ascii="Times New Roman" w:hAnsi="Times New Roman" w:cs="Times New Roman"/>
                  <w:bCs/>
                  <w:sz w:val="24"/>
                  <w:szCs w:val="24"/>
                </w:rPr>
                <w:tab/>
                <w:t>Conclusion</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25</w:t>
              </w:r>
            </w:p>
            <w:p w14:paraId="0927E7B5" w14:textId="77777777" w:rsidR="007B7D3B" w:rsidRPr="00E54204" w:rsidRDefault="007B7D3B" w:rsidP="007B7D3B">
              <w:pPr>
                <w:rPr>
                  <w:lang w:eastAsia="ja-JP"/>
                </w:rPr>
              </w:pPr>
            </w:p>
            <w:p w14:paraId="5AF0C280" w14:textId="77777777" w:rsidR="007B7D3B" w:rsidRPr="00E54204" w:rsidRDefault="007B7D3B"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CONCLUSION</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28</w:t>
              </w:r>
            </w:p>
            <w:p w14:paraId="616287BB" w14:textId="77777777" w:rsidR="007B7D3B" w:rsidRPr="00E54204" w:rsidRDefault="00D42229"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w:t>
              </w:r>
              <w:r w:rsidRPr="00E54204">
                <w:rPr>
                  <w:rFonts w:ascii="Times New Roman" w:hAnsi="Times New Roman" w:cs="Times New Roman"/>
                  <w:bCs/>
                  <w:sz w:val="24"/>
                  <w:szCs w:val="24"/>
                </w:rPr>
                <w:tab/>
              </w:r>
              <w:r w:rsidR="008206BF" w:rsidRPr="00E54204">
                <w:rPr>
                  <w:rFonts w:ascii="Times New Roman" w:hAnsi="Times New Roman" w:cs="Times New Roman"/>
                  <w:bCs/>
                  <w:sz w:val="24"/>
                  <w:szCs w:val="24"/>
                </w:rPr>
                <w:t>Summary of LITERATURE REVIEW chapter</w:t>
              </w:r>
              <w:r w:rsidR="007B7D3B" w:rsidRPr="00E54204">
                <w:rPr>
                  <w:rFonts w:ascii="Times New Roman" w:hAnsi="Times New Roman" w:cs="Times New Roman"/>
                  <w:sz w:val="24"/>
                  <w:szCs w:val="24"/>
                </w:rPr>
                <w:ptab w:relativeTo="margin" w:alignment="right" w:leader="dot"/>
              </w:r>
              <w:r w:rsidR="007B7D3B" w:rsidRPr="00E54204">
                <w:rPr>
                  <w:rFonts w:ascii="Times New Roman" w:hAnsi="Times New Roman" w:cs="Times New Roman"/>
                  <w:bCs/>
                  <w:sz w:val="24"/>
                  <w:szCs w:val="24"/>
                </w:rPr>
                <w:t>1</w:t>
              </w:r>
              <w:r w:rsidR="008206BF" w:rsidRPr="00E54204">
                <w:rPr>
                  <w:rFonts w:ascii="Times New Roman" w:hAnsi="Times New Roman" w:cs="Times New Roman"/>
                  <w:bCs/>
                  <w:sz w:val="24"/>
                  <w:szCs w:val="24"/>
                </w:rPr>
                <w:t>30</w:t>
              </w:r>
            </w:p>
            <w:p w14:paraId="1BFE0BF8" w14:textId="77777777" w:rsidR="007B7D3B" w:rsidRPr="00E54204" w:rsidRDefault="00D42229"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II.</w:t>
              </w:r>
              <w:r w:rsidRPr="00E54204">
                <w:rPr>
                  <w:rFonts w:ascii="Times New Roman" w:hAnsi="Times New Roman" w:cs="Times New Roman"/>
                  <w:bCs/>
                  <w:sz w:val="24"/>
                  <w:szCs w:val="24"/>
                </w:rPr>
                <w:tab/>
              </w:r>
              <w:r w:rsidR="008206BF" w:rsidRPr="00E54204">
                <w:rPr>
                  <w:rFonts w:ascii="Times New Roman" w:hAnsi="Times New Roman" w:cs="Times New Roman"/>
                  <w:bCs/>
                  <w:sz w:val="24"/>
                  <w:szCs w:val="24"/>
                </w:rPr>
                <w:t>Summary of ORIGINS</w:t>
              </w:r>
              <w:r w:rsidR="007B7D3B" w:rsidRPr="00E54204">
                <w:rPr>
                  <w:rFonts w:ascii="Times New Roman" w:hAnsi="Times New Roman" w:cs="Times New Roman"/>
                  <w:bCs/>
                  <w:sz w:val="24"/>
                  <w:szCs w:val="24"/>
                </w:rPr>
                <w:t xml:space="preserve"> chapter</w:t>
              </w:r>
              <w:r w:rsidR="007B7D3B" w:rsidRPr="00E54204">
                <w:rPr>
                  <w:rFonts w:ascii="Times New Roman" w:hAnsi="Times New Roman" w:cs="Times New Roman"/>
                  <w:sz w:val="24"/>
                  <w:szCs w:val="24"/>
                </w:rPr>
                <w:ptab w:relativeTo="margin" w:alignment="right" w:leader="dot"/>
              </w:r>
              <w:r w:rsidR="007B7D3B" w:rsidRPr="00E54204">
                <w:rPr>
                  <w:rFonts w:ascii="Times New Roman" w:hAnsi="Times New Roman" w:cs="Times New Roman"/>
                  <w:bCs/>
                  <w:sz w:val="24"/>
                  <w:szCs w:val="24"/>
                </w:rPr>
                <w:t>1</w:t>
              </w:r>
              <w:r w:rsidR="00BE3C04" w:rsidRPr="00E54204">
                <w:rPr>
                  <w:rFonts w:ascii="Times New Roman" w:hAnsi="Times New Roman" w:cs="Times New Roman"/>
                  <w:bCs/>
                  <w:sz w:val="24"/>
                  <w:szCs w:val="24"/>
                </w:rPr>
                <w:t>30</w:t>
              </w:r>
            </w:p>
            <w:p w14:paraId="7C1DE64F" w14:textId="77777777" w:rsidR="007B7D3B" w:rsidRPr="00E54204" w:rsidRDefault="00D42229" w:rsidP="007B7D3B">
              <w:pPr>
                <w:pStyle w:val="TOC1"/>
                <w:spacing w:after="0" w:line="240" w:lineRule="auto"/>
                <w:rPr>
                  <w:rFonts w:ascii="Times New Roman" w:hAnsi="Times New Roman" w:cs="Times New Roman"/>
                  <w:sz w:val="24"/>
                  <w:szCs w:val="24"/>
                </w:rPr>
              </w:pPr>
              <w:r w:rsidRPr="00E54204">
                <w:rPr>
                  <w:rFonts w:ascii="Times New Roman" w:hAnsi="Times New Roman" w:cs="Times New Roman"/>
                  <w:bCs/>
                  <w:sz w:val="24"/>
                  <w:szCs w:val="24"/>
                </w:rPr>
                <w:t>III.</w:t>
              </w:r>
              <w:r w:rsidRPr="00E54204">
                <w:rPr>
                  <w:rFonts w:ascii="Times New Roman" w:hAnsi="Times New Roman" w:cs="Times New Roman"/>
                  <w:bCs/>
                  <w:sz w:val="24"/>
                  <w:szCs w:val="24"/>
                </w:rPr>
                <w:tab/>
              </w:r>
              <w:r w:rsidR="008206BF" w:rsidRPr="00E54204">
                <w:rPr>
                  <w:rFonts w:ascii="Times New Roman" w:hAnsi="Times New Roman" w:cs="Times New Roman"/>
                  <w:bCs/>
                  <w:sz w:val="24"/>
                  <w:szCs w:val="24"/>
                </w:rPr>
                <w:t>Summary of CATEGORIES</w:t>
              </w:r>
              <w:r w:rsidR="007B7D3B" w:rsidRPr="00E54204">
                <w:rPr>
                  <w:rFonts w:ascii="Times New Roman" w:hAnsi="Times New Roman" w:cs="Times New Roman"/>
                  <w:bCs/>
                  <w:sz w:val="24"/>
                  <w:szCs w:val="24"/>
                </w:rPr>
                <w:t xml:space="preserve"> chapter</w:t>
              </w:r>
              <w:r w:rsidR="007B7D3B" w:rsidRPr="00E54204">
                <w:rPr>
                  <w:rFonts w:ascii="Times New Roman" w:hAnsi="Times New Roman" w:cs="Times New Roman"/>
                  <w:sz w:val="24"/>
                  <w:szCs w:val="24"/>
                </w:rPr>
                <w:ptab w:relativeTo="margin" w:alignment="right" w:leader="dot"/>
              </w:r>
              <w:r w:rsidR="007B7D3B" w:rsidRPr="00E54204">
                <w:rPr>
                  <w:rFonts w:ascii="Times New Roman" w:hAnsi="Times New Roman" w:cs="Times New Roman"/>
                  <w:bCs/>
                  <w:sz w:val="24"/>
                  <w:szCs w:val="24"/>
                </w:rPr>
                <w:t>1</w:t>
              </w:r>
              <w:r w:rsidR="00BE3C04" w:rsidRPr="00E54204">
                <w:rPr>
                  <w:rFonts w:ascii="Times New Roman" w:hAnsi="Times New Roman" w:cs="Times New Roman"/>
                  <w:bCs/>
                  <w:sz w:val="24"/>
                  <w:szCs w:val="24"/>
                </w:rPr>
                <w:t>32</w:t>
              </w:r>
            </w:p>
            <w:p w14:paraId="22194DE7" w14:textId="77777777" w:rsidR="007B7D3B" w:rsidRPr="00E54204" w:rsidRDefault="00D42229" w:rsidP="007B7D3B">
              <w:pPr>
                <w:pStyle w:val="TOC1"/>
                <w:spacing w:after="0" w:line="240" w:lineRule="auto"/>
                <w:rPr>
                  <w:rFonts w:ascii="Times New Roman" w:hAnsi="Times New Roman" w:cs="Times New Roman"/>
                  <w:bCs/>
                  <w:sz w:val="24"/>
                  <w:szCs w:val="24"/>
                </w:rPr>
              </w:pPr>
              <w:r w:rsidRPr="00E54204">
                <w:rPr>
                  <w:rFonts w:ascii="Times New Roman" w:hAnsi="Times New Roman" w:cs="Times New Roman"/>
                  <w:bCs/>
                  <w:sz w:val="24"/>
                  <w:szCs w:val="24"/>
                </w:rPr>
                <w:t>IV.</w:t>
              </w:r>
              <w:r w:rsidRPr="00E54204">
                <w:rPr>
                  <w:rFonts w:ascii="Times New Roman" w:hAnsi="Times New Roman" w:cs="Times New Roman"/>
                  <w:bCs/>
                  <w:sz w:val="24"/>
                  <w:szCs w:val="24"/>
                </w:rPr>
                <w:tab/>
              </w:r>
              <w:r w:rsidR="008C6699" w:rsidRPr="00E54204">
                <w:rPr>
                  <w:rFonts w:ascii="Times New Roman" w:hAnsi="Times New Roman" w:cs="Times New Roman"/>
                  <w:bCs/>
                  <w:sz w:val="24"/>
                  <w:szCs w:val="24"/>
                </w:rPr>
                <w:t>Concluding Remarks</w:t>
              </w:r>
              <w:r w:rsidR="007B7D3B" w:rsidRPr="00E54204">
                <w:rPr>
                  <w:rFonts w:ascii="Times New Roman" w:hAnsi="Times New Roman" w:cs="Times New Roman"/>
                  <w:sz w:val="24"/>
                  <w:szCs w:val="24"/>
                </w:rPr>
                <w:ptab w:relativeTo="margin" w:alignment="right" w:leader="dot"/>
              </w:r>
              <w:r w:rsidR="007B7D3B" w:rsidRPr="00E54204">
                <w:rPr>
                  <w:rFonts w:ascii="Times New Roman" w:hAnsi="Times New Roman" w:cs="Times New Roman"/>
                  <w:bCs/>
                  <w:sz w:val="24"/>
                  <w:szCs w:val="24"/>
                </w:rPr>
                <w:t>1</w:t>
              </w:r>
              <w:r w:rsidR="00BE3C04" w:rsidRPr="00E54204">
                <w:rPr>
                  <w:rFonts w:ascii="Times New Roman" w:hAnsi="Times New Roman" w:cs="Times New Roman"/>
                  <w:bCs/>
                  <w:sz w:val="24"/>
                  <w:szCs w:val="24"/>
                </w:rPr>
                <w:t>34</w:t>
              </w:r>
            </w:p>
            <w:p w14:paraId="3FCE4B4B" w14:textId="77777777" w:rsidR="007B7D3B" w:rsidRPr="00E54204" w:rsidRDefault="007B7D3B" w:rsidP="007B7D3B">
              <w:pPr>
                <w:rPr>
                  <w:lang w:eastAsia="ja-JP"/>
                </w:rPr>
              </w:pPr>
            </w:p>
            <w:p w14:paraId="682B54CF" w14:textId="77777777" w:rsidR="007B7D3B" w:rsidRPr="00E54204" w:rsidRDefault="007B7D3B" w:rsidP="007B7D3B">
              <w:pPr>
                <w:pStyle w:val="TOC1"/>
                <w:spacing w:after="0" w:line="240" w:lineRule="auto"/>
                <w:rPr>
                  <w:rFonts w:ascii="Times New Roman" w:hAnsi="Times New Roman" w:cs="Times New Roman"/>
                  <w:bCs/>
                  <w:sz w:val="24"/>
                  <w:szCs w:val="24"/>
                </w:rPr>
              </w:pPr>
              <w:r w:rsidRPr="00E54204">
                <w:rPr>
                  <w:rFonts w:ascii="Times New Roman" w:hAnsi="Times New Roman" w:cs="Times New Roman"/>
                  <w:bCs/>
                  <w:sz w:val="24"/>
                  <w:szCs w:val="24"/>
                </w:rPr>
                <w:t>BIBLIOGRAPHY</w:t>
              </w:r>
              <w:r w:rsidRPr="00E54204">
                <w:rPr>
                  <w:rFonts w:ascii="Times New Roman" w:hAnsi="Times New Roman" w:cs="Times New Roman"/>
                  <w:sz w:val="24"/>
                  <w:szCs w:val="24"/>
                </w:rPr>
                <w:ptab w:relativeTo="margin" w:alignment="right" w:leader="dot"/>
              </w:r>
              <w:r w:rsidRPr="00E54204">
                <w:rPr>
                  <w:rFonts w:ascii="Times New Roman" w:hAnsi="Times New Roman" w:cs="Times New Roman"/>
                  <w:bCs/>
                  <w:sz w:val="24"/>
                  <w:szCs w:val="24"/>
                </w:rPr>
                <w:t>1</w:t>
              </w:r>
              <w:r w:rsidR="00BE3C04" w:rsidRPr="00E54204">
                <w:rPr>
                  <w:rFonts w:ascii="Times New Roman" w:hAnsi="Times New Roman" w:cs="Times New Roman"/>
                  <w:bCs/>
                  <w:sz w:val="24"/>
                  <w:szCs w:val="24"/>
                </w:rPr>
                <w:t>37</w:t>
              </w:r>
            </w:p>
          </w:sdtContent>
        </w:sdt>
        <w:p w14:paraId="61617DDC" w14:textId="77777777" w:rsidR="007B7D3B" w:rsidRPr="00E54204" w:rsidRDefault="007B7D3B" w:rsidP="007B7D3B">
          <w:pPr>
            <w:rPr>
              <w:rFonts w:cs="Times New Roman"/>
              <w:szCs w:val="24"/>
            </w:rPr>
          </w:pPr>
        </w:p>
        <w:p w14:paraId="74265A01" w14:textId="77777777" w:rsidR="007B7D3B" w:rsidRPr="00E54204" w:rsidRDefault="007B7D3B" w:rsidP="007B7D3B">
          <w:pPr>
            <w:jc w:val="center"/>
          </w:pPr>
        </w:p>
        <w:p w14:paraId="7E57C694" w14:textId="77777777" w:rsidR="00963EA2" w:rsidRPr="00E54204" w:rsidRDefault="00647E0A" w:rsidP="00963EA2"/>
      </w:sdtContent>
    </w:sdt>
    <w:p w14:paraId="086A2377" w14:textId="77777777" w:rsidR="00D8280A" w:rsidRPr="00E54204" w:rsidRDefault="00D8280A" w:rsidP="00FF1594">
      <w:pPr>
        <w:jc w:val="right"/>
      </w:pPr>
    </w:p>
    <w:p w14:paraId="6ADF3DE8" w14:textId="77777777" w:rsidR="00D8280A" w:rsidRPr="00E54204" w:rsidRDefault="00D8280A" w:rsidP="00FF1594">
      <w:pPr>
        <w:jc w:val="right"/>
      </w:pPr>
    </w:p>
    <w:p w14:paraId="1156D788" w14:textId="77777777" w:rsidR="00D8280A" w:rsidRPr="00E54204" w:rsidRDefault="00D8280A" w:rsidP="00FF1594">
      <w:pPr>
        <w:jc w:val="right"/>
      </w:pPr>
    </w:p>
    <w:p w14:paraId="4B9745C3" w14:textId="77777777" w:rsidR="00B67321" w:rsidRPr="00E54204" w:rsidRDefault="00B67321" w:rsidP="001C447D">
      <w:pPr>
        <w:tabs>
          <w:tab w:val="left" w:pos="2104"/>
        </w:tabs>
        <w:spacing w:after="160"/>
        <w:jc w:val="center"/>
        <w:rPr>
          <w:szCs w:val="20"/>
        </w:rPr>
      </w:pPr>
    </w:p>
    <w:p w14:paraId="055C1D04" w14:textId="77777777" w:rsidR="00B67321" w:rsidRPr="00E54204" w:rsidRDefault="00B67321" w:rsidP="001C447D">
      <w:pPr>
        <w:tabs>
          <w:tab w:val="left" w:pos="2104"/>
        </w:tabs>
        <w:spacing w:after="160"/>
        <w:jc w:val="center"/>
        <w:rPr>
          <w:szCs w:val="20"/>
        </w:rPr>
      </w:pPr>
    </w:p>
    <w:p w14:paraId="39D1C765" w14:textId="77777777" w:rsidR="00D8280A" w:rsidRPr="00E54204" w:rsidRDefault="00253336" w:rsidP="001C447D">
      <w:pPr>
        <w:tabs>
          <w:tab w:val="left" w:pos="2104"/>
        </w:tabs>
        <w:spacing w:after="160"/>
        <w:jc w:val="center"/>
      </w:pPr>
      <w:r w:rsidRPr="00E54204">
        <w:rPr>
          <w:szCs w:val="20"/>
        </w:rPr>
        <w:lastRenderedPageBreak/>
        <w:t xml:space="preserve">TRACTATE </w:t>
      </w:r>
      <w:r w:rsidR="00D8280A" w:rsidRPr="00E54204">
        <w:rPr>
          <w:szCs w:val="20"/>
        </w:rPr>
        <w:t>ABBREVIATIONS</w:t>
      </w:r>
    </w:p>
    <w:p w14:paraId="3FDB3639" w14:textId="77777777" w:rsidR="00D8280A" w:rsidRPr="00E54204" w:rsidRDefault="00DF38F6" w:rsidP="00DF38F6">
      <w:pPr>
        <w:ind w:firstLine="720"/>
        <w:rPr>
          <w:szCs w:val="20"/>
        </w:rPr>
      </w:pPr>
      <w:r w:rsidRPr="00E54204">
        <w:rPr>
          <w:szCs w:val="20"/>
        </w:rPr>
        <w:t>Ber.</w:t>
      </w:r>
      <w:r w:rsidRPr="00E54204">
        <w:rPr>
          <w:szCs w:val="20"/>
        </w:rPr>
        <w:tab/>
      </w:r>
      <w:r w:rsidR="000F7590" w:rsidRPr="00E54204">
        <w:rPr>
          <w:szCs w:val="20"/>
        </w:rPr>
        <w:t>Berach</w:t>
      </w:r>
      <w:r w:rsidR="00D8280A" w:rsidRPr="00E54204">
        <w:rPr>
          <w:szCs w:val="20"/>
        </w:rPr>
        <w:t>ot</w:t>
      </w:r>
    </w:p>
    <w:p w14:paraId="57BBFBF4" w14:textId="77777777" w:rsidR="00D8280A" w:rsidRPr="00E54204" w:rsidRDefault="00DF38F6" w:rsidP="00DF38F6">
      <w:pPr>
        <w:ind w:firstLine="720"/>
        <w:rPr>
          <w:szCs w:val="20"/>
        </w:rPr>
      </w:pPr>
      <w:r w:rsidRPr="00E54204">
        <w:rPr>
          <w:szCs w:val="20"/>
        </w:rPr>
        <w:t>Sh.</w:t>
      </w:r>
      <w:r w:rsidRPr="00E54204">
        <w:rPr>
          <w:szCs w:val="20"/>
        </w:rPr>
        <w:tab/>
      </w:r>
      <w:r w:rsidR="00D8280A" w:rsidRPr="00E54204">
        <w:rPr>
          <w:szCs w:val="20"/>
        </w:rPr>
        <w:t>Shabbat</w:t>
      </w:r>
    </w:p>
    <w:p w14:paraId="61BD91E9" w14:textId="77777777" w:rsidR="00D8280A" w:rsidRPr="00E54204" w:rsidRDefault="00DF38F6" w:rsidP="00DF38F6">
      <w:pPr>
        <w:ind w:firstLine="720"/>
        <w:rPr>
          <w:szCs w:val="20"/>
        </w:rPr>
      </w:pPr>
      <w:r w:rsidRPr="00E54204">
        <w:rPr>
          <w:szCs w:val="20"/>
        </w:rPr>
        <w:t>Er.</w:t>
      </w:r>
      <w:r w:rsidRPr="00E54204">
        <w:rPr>
          <w:szCs w:val="20"/>
        </w:rPr>
        <w:tab/>
      </w:r>
      <w:r w:rsidR="00D8280A" w:rsidRPr="00E54204">
        <w:rPr>
          <w:szCs w:val="20"/>
        </w:rPr>
        <w:t>Eruvin</w:t>
      </w:r>
    </w:p>
    <w:p w14:paraId="4093826B" w14:textId="77777777" w:rsidR="00D8280A" w:rsidRPr="00E54204" w:rsidRDefault="00DF38F6" w:rsidP="00DF38F6">
      <w:pPr>
        <w:ind w:firstLine="720"/>
        <w:rPr>
          <w:szCs w:val="20"/>
        </w:rPr>
      </w:pPr>
      <w:r w:rsidRPr="00E54204">
        <w:rPr>
          <w:szCs w:val="20"/>
        </w:rPr>
        <w:t>Pe.</w:t>
      </w:r>
      <w:r w:rsidRPr="00E54204">
        <w:rPr>
          <w:szCs w:val="20"/>
        </w:rPr>
        <w:tab/>
      </w:r>
      <w:r w:rsidR="00D8280A" w:rsidRPr="00E54204">
        <w:rPr>
          <w:szCs w:val="20"/>
        </w:rPr>
        <w:t>Pesachim</w:t>
      </w:r>
    </w:p>
    <w:p w14:paraId="75FF167D" w14:textId="77777777" w:rsidR="00D8280A" w:rsidRPr="00E54204" w:rsidRDefault="00DF38F6" w:rsidP="00DF38F6">
      <w:pPr>
        <w:ind w:firstLine="720"/>
        <w:rPr>
          <w:szCs w:val="20"/>
        </w:rPr>
      </w:pPr>
      <w:r w:rsidRPr="00E54204">
        <w:rPr>
          <w:szCs w:val="20"/>
        </w:rPr>
        <w:t>Yo.</w:t>
      </w:r>
      <w:r w:rsidRPr="00E54204">
        <w:rPr>
          <w:szCs w:val="20"/>
        </w:rPr>
        <w:tab/>
      </w:r>
      <w:r w:rsidR="00D8280A" w:rsidRPr="00E54204">
        <w:rPr>
          <w:szCs w:val="20"/>
        </w:rPr>
        <w:t>Yoma</w:t>
      </w:r>
    </w:p>
    <w:p w14:paraId="560EAE86" w14:textId="77777777" w:rsidR="00D8280A" w:rsidRPr="00E54204" w:rsidRDefault="00DF38F6" w:rsidP="00DF38F6">
      <w:pPr>
        <w:ind w:firstLine="720"/>
        <w:rPr>
          <w:szCs w:val="20"/>
        </w:rPr>
      </w:pPr>
      <w:r w:rsidRPr="00E54204">
        <w:rPr>
          <w:szCs w:val="20"/>
        </w:rPr>
        <w:t>R.H.</w:t>
      </w:r>
      <w:r w:rsidRPr="00E54204">
        <w:rPr>
          <w:szCs w:val="20"/>
        </w:rPr>
        <w:tab/>
      </w:r>
      <w:r w:rsidR="00D8280A" w:rsidRPr="00E54204">
        <w:rPr>
          <w:szCs w:val="20"/>
        </w:rPr>
        <w:t>Rosh Hashannah</w:t>
      </w:r>
    </w:p>
    <w:p w14:paraId="0C4A20ED" w14:textId="77777777" w:rsidR="00D8280A" w:rsidRPr="00E54204" w:rsidRDefault="00DF38F6" w:rsidP="00DF38F6">
      <w:pPr>
        <w:ind w:firstLine="720"/>
        <w:rPr>
          <w:szCs w:val="20"/>
        </w:rPr>
      </w:pPr>
      <w:r w:rsidRPr="00E54204">
        <w:rPr>
          <w:szCs w:val="20"/>
        </w:rPr>
        <w:t>Ta.</w:t>
      </w:r>
      <w:r w:rsidRPr="00E54204">
        <w:rPr>
          <w:szCs w:val="20"/>
        </w:rPr>
        <w:tab/>
      </w:r>
      <w:r w:rsidR="00D8280A" w:rsidRPr="00E54204">
        <w:rPr>
          <w:szCs w:val="20"/>
        </w:rPr>
        <w:t>Ta’anit</w:t>
      </w:r>
    </w:p>
    <w:p w14:paraId="12DDDA33" w14:textId="77777777" w:rsidR="00D8280A" w:rsidRPr="00E54204" w:rsidRDefault="00DF38F6" w:rsidP="00DF38F6">
      <w:pPr>
        <w:ind w:firstLine="720"/>
        <w:rPr>
          <w:szCs w:val="20"/>
        </w:rPr>
      </w:pPr>
      <w:r w:rsidRPr="00E54204">
        <w:rPr>
          <w:szCs w:val="20"/>
        </w:rPr>
        <w:t>Meg.</w:t>
      </w:r>
      <w:r w:rsidRPr="00E54204">
        <w:rPr>
          <w:szCs w:val="20"/>
        </w:rPr>
        <w:tab/>
      </w:r>
      <w:r w:rsidR="00D8280A" w:rsidRPr="00E54204">
        <w:rPr>
          <w:szCs w:val="20"/>
        </w:rPr>
        <w:t>Megillah</w:t>
      </w:r>
    </w:p>
    <w:p w14:paraId="64088F8C" w14:textId="77777777" w:rsidR="00D8280A" w:rsidRPr="00E54204" w:rsidRDefault="00DF38F6" w:rsidP="00DF38F6">
      <w:pPr>
        <w:ind w:firstLine="720"/>
        <w:rPr>
          <w:szCs w:val="20"/>
        </w:rPr>
      </w:pPr>
      <w:r w:rsidRPr="00E54204">
        <w:rPr>
          <w:szCs w:val="20"/>
        </w:rPr>
        <w:t>M.K.</w:t>
      </w:r>
      <w:r w:rsidRPr="00E54204">
        <w:rPr>
          <w:szCs w:val="20"/>
        </w:rPr>
        <w:tab/>
      </w:r>
      <w:r w:rsidR="00D8280A" w:rsidRPr="00E54204">
        <w:rPr>
          <w:szCs w:val="20"/>
        </w:rPr>
        <w:t>Moed Katan</w:t>
      </w:r>
    </w:p>
    <w:p w14:paraId="3777D077" w14:textId="77777777" w:rsidR="00D8280A" w:rsidRPr="00E54204" w:rsidRDefault="00DF38F6" w:rsidP="00DF38F6">
      <w:pPr>
        <w:ind w:firstLine="720"/>
        <w:rPr>
          <w:szCs w:val="20"/>
        </w:rPr>
      </w:pPr>
      <w:r w:rsidRPr="00E54204">
        <w:rPr>
          <w:szCs w:val="20"/>
        </w:rPr>
        <w:t>Chg.</w:t>
      </w:r>
      <w:r w:rsidRPr="00E54204">
        <w:rPr>
          <w:szCs w:val="20"/>
        </w:rPr>
        <w:tab/>
      </w:r>
      <w:r w:rsidR="00D8280A" w:rsidRPr="00E54204">
        <w:rPr>
          <w:szCs w:val="20"/>
        </w:rPr>
        <w:t>Chagigah</w:t>
      </w:r>
    </w:p>
    <w:p w14:paraId="0A854092" w14:textId="77777777" w:rsidR="00D8280A" w:rsidRPr="00E54204" w:rsidRDefault="00DF38F6" w:rsidP="00DF38F6">
      <w:pPr>
        <w:ind w:firstLine="720"/>
        <w:rPr>
          <w:szCs w:val="20"/>
        </w:rPr>
      </w:pPr>
      <w:r w:rsidRPr="00E54204">
        <w:rPr>
          <w:szCs w:val="20"/>
        </w:rPr>
        <w:t>Yev.</w:t>
      </w:r>
      <w:r w:rsidRPr="00E54204">
        <w:rPr>
          <w:szCs w:val="20"/>
        </w:rPr>
        <w:tab/>
      </w:r>
      <w:r w:rsidR="00D8280A" w:rsidRPr="00E54204">
        <w:rPr>
          <w:szCs w:val="20"/>
        </w:rPr>
        <w:t>Yevamot</w:t>
      </w:r>
    </w:p>
    <w:p w14:paraId="350AE4A0" w14:textId="77777777" w:rsidR="00D8280A" w:rsidRPr="00E54204" w:rsidRDefault="00DF38F6" w:rsidP="00DF38F6">
      <w:pPr>
        <w:ind w:firstLine="720"/>
        <w:rPr>
          <w:szCs w:val="20"/>
        </w:rPr>
      </w:pPr>
      <w:r w:rsidRPr="00E54204">
        <w:rPr>
          <w:szCs w:val="20"/>
        </w:rPr>
        <w:t>Ket.</w:t>
      </w:r>
      <w:r w:rsidRPr="00E54204">
        <w:rPr>
          <w:szCs w:val="20"/>
        </w:rPr>
        <w:tab/>
      </w:r>
      <w:r w:rsidR="00D8280A" w:rsidRPr="00E54204">
        <w:rPr>
          <w:szCs w:val="20"/>
        </w:rPr>
        <w:t>Ketubot</w:t>
      </w:r>
    </w:p>
    <w:p w14:paraId="7DF1A1D1" w14:textId="77777777" w:rsidR="00D8280A" w:rsidRPr="00E54204" w:rsidRDefault="00DF38F6" w:rsidP="00DF38F6">
      <w:pPr>
        <w:ind w:firstLine="720"/>
        <w:rPr>
          <w:szCs w:val="20"/>
        </w:rPr>
      </w:pPr>
      <w:r w:rsidRPr="00E54204">
        <w:rPr>
          <w:szCs w:val="20"/>
        </w:rPr>
        <w:t>So.</w:t>
      </w:r>
      <w:r w:rsidRPr="00E54204">
        <w:rPr>
          <w:szCs w:val="20"/>
        </w:rPr>
        <w:tab/>
      </w:r>
      <w:r w:rsidR="00D8280A" w:rsidRPr="00E54204">
        <w:rPr>
          <w:szCs w:val="20"/>
        </w:rPr>
        <w:t>Sotah</w:t>
      </w:r>
    </w:p>
    <w:p w14:paraId="39D9CB02" w14:textId="77777777" w:rsidR="00D8280A" w:rsidRPr="00E54204" w:rsidRDefault="00DF38F6" w:rsidP="00DF38F6">
      <w:pPr>
        <w:ind w:firstLine="720"/>
        <w:rPr>
          <w:szCs w:val="20"/>
        </w:rPr>
      </w:pPr>
      <w:r w:rsidRPr="00E54204">
        <w:rPr>
          <w:szCs w:val="20"/>
        </w:rPr>
        <w:t>Git.</w:t>
      </w:r>
      <w:r w:rsidRPr="00E54204">
        <w:rPr>
          <w:szCs w:val="20"/>
        </w:rPr>
        <w:tab/>
      </w:r>
      <w:r w:rsidR="00D8280A" w:rsidRPr="00E54204">
        <w:rPr>
          <w:szCs w:val="20"/>
        </w:rPr>
        <w:t>Gittin</w:t>
      </w:r>
    </w:p>
    <w:p w14:paraId="734DDDC5" w14:textId="77777777" w:rsidR="00D8280A" w:rsidRPr="00E54204" w:rsidRDefault="00DF38F6" w:rsidP="00DF38F6">
      <w:pPr>
        <w:ind w:firstLine="720"/>
        <w:rPr>
          <w:szCs w:val="20"/>
        </w:rPr>
      </w:pPr>
      <w:r w:rsidRPr="00E54204">
        <w:rPr>
          <w:szCs w:val="20"/>
        </w:rPr>
        <w:t>B.M.</w:t>
      </w:r>
      <w:r w:rsidRPr="00E54204">
        <w:rPr>
          <w:szCs w:val="20"/>
        </w:rPr>
        <w:tab/>
      </w:r>
      <w:r w:rsidR="00D8280A" w:rsidRPr="00E54204">
        <w:rPr>
          <w:szCs w:val="20"/>
        </w:rPr>
        <w:t>Bava Metzia</w:t>
      </w:r>
    </w:p>
    <w:p w14:paraId="0D41CACD" w14:textId="77777777" w:rsidR="00D8280A" w:rsidRPr="00E54204" w:rsidRDefault="00DF38F6" w:rsidP="00DF38F6">
      <w:pPr>
        <w:ind w:firstLine="720"/>
        <w:rPr>
          <w:szCs w:val="20"/>
        </w:rPr>
      </w:pPr>
      <w:r w:rsidRPr="00E54204">
        <w:rPr>
          <w:szCs w:val="20"/>
        </w:rPr>
        <w:t>B.B.</w:t>
      </w:r>
      <w:r w:rsidRPr="00E54204">
        <w:rPr>
          <w:szCs w:val="20"/>
        </w:rPr>
        <w:tab/>
      </w:r>
      <w:r w:rsidR="00D8280A" w:rsidRPr="00E54204">
        <w:rPr>
          <w:szCs w:val="20"/>
        </w:rPr>
        <w:t>Bava Batra</w:t>
      </w:r>
    </w:p>
    <w:p w14:paraId="300DD43E" w14:textId="77777777" w:rsidR="00D8280A" w:rsidRPr="00E54204" w:rsidRDefault="00DF38F6" w:rsidP="00DF38F6">
      <w:pPr>
        <w:ind w:firstLine="720"/>
        <w:rPr>
          <w:szCs w:val="20"/>
        </w:rPr>
      </w:pPr>
      <w:r w:rsidRPr="00E54204">
        <w:rPr>
          <w:szCs w:val="20"/>
        </w:rPr>
        <w:t>Sa.</w:t>
      </w:r>
      <w:r w:rsidRPr="00E54204">
        <w:rPr>
          <w:szCs w:val="20"/>
        </w:rPr>
        <w:tab/>
      </w:r>
      <w:r w:rsidR="00D8280A" w:rsidRPr="00E54204">
        <w:rPr>
          <w:szCs w:val="20"/>
        </w:rPr>
        <w:t>Sanhedrin</w:t>
      </w:r>
    </w:p>
    <w:p w14:paraId="1D942A17" w14:textId="77777777" w:rsidR="00D8280A" w:rsidRPr="00E54204" w:rsidRDefault="00DF38F6" w:rsidP="00DF38F6">
      <w:pPr>
        <w:ind w:firstLine="720"/>
        <w:rPr>
          <w:szCs w:val="20"/>
        </w:rPr>
      </w:pPr>
      <w:r w:rsidRPr="00E54204">
        <w:rPr>
          <w:szCs w:val="20"/>
        </w:rPr>
        <w:t>A.Z.</w:t>
      </w:r>
      <w:r w:rsidRPr="00E54204">
        <w:rPr>
          <w:szCs w:val="20"/>
        </w:rPr>
        <w:tab/>
      </w:r>
      <w:r w:rsidR="00D8280A" w:rsidRPr="00E54204">
        <w:rPr>
          <w:szCs w:val="20"/>
        </w:rPr>
        <w:t>Avodah Zarah</w:t>
      </w:r>
    </w:p>
    <w:p w14:paraId="581F667B" w14:textId="77777777" w:rsidR="00D8280A" w:rsidRPr="00E54204" w:rsidRDefault="00DF38F6" w:rsidP="00DF38F6">
      <w:pPr>
        <w:ind w:firstLine="720"/>
        <w:rPr>
          <w:szCs w:val="20"/>
        </w:rPr>
      </w:pPr>
      <w:r w:rsidRPr="00E54204">
        <w:rPr>
          <w:szCs w:val="20"/>
        </w:rPr>
        <w:t>Hr.</w:t>
      </w:r>
      <w:r w:rsidRPr="00E54204">
        <w:rPr>
          <w:szCs w:val="20"/>
        </w:rPr>
        <w:tab/>
      </w:r>
      <w:r w:rsidR="00D8280A" w:rsidRPr="00E54204">
        <w:rPr>
          <w:szCs w:val="20"/>
        </w:rPr>
        <w:t>Horayot</w:t>
      </w:r>
    </w:p>
    <w:p w14:paraId="47AB6A61" w14:textId="77777777" w:rsidR="00D8280A" w:rsidRPr="00E54204" w:rsidRDefault="00DF38F6" w:rsidP="00DF38F6">
      <w:pPr>
        <w:ind w:firstLine="720"/>
        <w:rPr>
          <w:szCs w:val="20"/>
        </w:rPr>
      </w:pPr>
      <w:r w:rsidRPr="00E54204">
        <w:rPr>
          <w:szCs w:val="20"/>
        </w:rPr>
        <w:t>Mak.</w:t>
      </w:r>
      <w:r w:rsidRPr="00E54204">
        <w:rPr>
          <w:szCs w:val="20"/>
        </w:rPr>
        <w:tab/>
      </w:r>
      <w:r w:rsidR="00D8280A" w:rsidRPr="00E54204">
        <w:rPr>
          <w:szCs w:val="20"/>
        </w:rPr>
        <w:t>Makkot</w:t>
      </w:r>
    </w:p>
    <w:p w14:paraId="161CE215" w14:textId="77777777" w:rsidR="00D8280A" w:rsidRPr="00E54204" w:rsidRDefault="00DF38F6" w:rsidP="00DF38F6">
      <w:pPr>
        <w:ind w:firstLine="720"/>
        <w:rPr>
          <w:szCs w:val="20"/>
        </w:rPr>
      </w:pPr>
      <w:r w:rsidRPr="00E54204">
        <w:rPr>
          <w:szCs w:val="20"/>
        </w:rPr>
        <w:t>Chl.</w:t>
      </w:r>
      <w:r w:rsidRPr="00E54204">
        <w:rPr>
          <w:szCs w:val="20"/>
        </w:rPr>
        <w:tab/>
      </w:r>
      <w:r w:rsidR="00D8280A" w:rsidRPr="00E54204">
        <w:rPr>
          <w:szCs w:val="20"/>
        </w:rPr>
        <w:t>Chullin</w:t>
      </w:r>
    </w:p>
    <w:p w14:paraId="6D1A071C" w14:textId="77777777" w:rsidR="00D8280A" w:rsidRPr="00E54204" w:rsidRDefault="00DF38F6" w:rsidP="00DF38F6">
      <w:pPr>
        <w:ind w:firstLine="720"/>
        <w:rPr>
          <w:szCs w:val="20"/>
        </w:rPr>
      </w:pPr>
      <w:r w:rsidRPr="00E54204">
        <w:rPr>
          <w:szCs w:val="20"/>
        </w:rPr>
        <w:t>Ker.</w:t>
      </w:r>
      <w:r w:rsidRPr="00E54204">
        <w:rPr>
          <w:szCs w:val="20"/>
        </w:rPr>
        <w:tab/>
      </w:r>
      <w:r w:rsidR="00FF51C5" w:rsidRPr="00E54204">
        <w:rPr>
          <w:szCs w:val="20"/>
        </w:rPr>
        <w:t>Keritot</w:t>
      </w:r>
    </w:p>
    <w:p w14:paraId="1A8FA1F4" w14:textId="77777777" w:rsidR="00B467A7" w:rsidRPr="00E54204" w:rsidRDefault="00B467A7" w:rsidP="00B467A7">
      <w:pPr>
        <w:rPr>
          <w:szCs w:val="20"/>
        </w:rPr>
        <w:sectPr w:rsidR="00B467A7" w:rsidRPr="00E54204" w:rsidSect="00FC3FDF">
          <w:footerReference w:type="default" r:id="rId8"/>
          <w:footerReference w:type="first" r:id="rId9"/>
          <w:pgSz w:w="12240" w:h="15840" w:code="1"/>
          <w:pgMar w:top="1440" w:right="1440" w:bottom="1800" w:left="2160" w:header="720" w:footer="720" w:gutter="0"/>
          <w:pgNumType w:fmt="lowerRoman" w:start="1"/>
          <w:cols w:space="720"/>
          <w:titlePg/>
          <w:docGrid w:linePitch="360"/>
        </w:sectPr>
      </w:pPr>
    </w:p>
    <w:p w14:paraId="1344CCF5" w14:textId="77777777" w:rsidR="007F63ED" w:rsidRPr="00E54204" w:rsidRDefault="00D8280A" w:rsidP="001C447D">
      <w:pPr>
        <w:pStyle w:val="Heading1"/>
        <w:jc w:val="center"/>
        <w:rPr>
          <w:rFonts w:ascii="Times New Roman" w:hAnsi="Times New Roman" w:cs="Times New Roman"/>
          <w:b/>
          <w:color w:val="auto"/>
          <w:sz w:val="24"/>
          <w:szCs w:val="24"/>
        </w:rPr>
      </w:pPr>
      <w:r w:rsidRPr="00E54204">
        <w:rPr>
          <w:rFonts w:ascii="Times New Roman" w:hAnsi="Times New Roman" w:cs="Times New Roman"/>
          <w:b/>
          <w:color w:val="auto"/>
          <w:sz w:val="24"/>
          <w:szCs w:val="24"/>
        </w:rPr>
        <w:lastRenderedPageBreak/>
        <w:t>INTRODUCTION</w:t>
      </w:r>
    </w:p>
    <w:p w14:paraId="51779923" w14:textId="77777777" w:rsidR="007F63ED" w:rsidRPr="00E54204" w:rsidRDefault="007F63ED" w:rsidP="00D8280A">
      <w:pPr>
        <w:spacing w:after="160"/>
        <w:ind w:firstLine="720"/>
        <w:rPr>
          <w:szCs w:val="20"/>
        </w:rPr>
      </w:pPr>
      <w:r w:rsidRPr="00E54204">
        <w:rPr>
          <w:szCs w:val="20"/>
        </w:rPr>
        <w:t>Perhaps every individual has experienced a point in time in which he or she longed for a supernatural sign; a clue, a word, a marvel, anything that would indicate the right path</w:t>
      </w:r>
      <w:r w:rsidR="000A6666" w:rsidRPr="00E54204">
        <w:rPr>
          <w:szCs w:val="20"/>
        </w:rPr>
        <w:t xml:space="preserve"> to follow</w:t>
      </w:r>
      <w:r w:rsidR="00B33463" w:rsidRPr="00E54204">
        <w:rPr>
          <w:szCs w:val="20"/>
        </w:rPr>
        <w:t>; o</w:t>
      </w:r>
      <w:r w:rsidR="000A6666" w:rsidRPr="00E54204">
        <w:rPr>
          <w:szCs w:val="20"/>
        </w:rPr>
        <w:t>r a word a word of encouragement, comfort, and affirmation in challenging times.</w:t>
      </w:r>
      <w:r w:rsidRPr="00E54204">
        <w:rPr>
          <w:szCs w:val="20"/>
        </w:rPr>
        <w:t xml:space="preserve">  Indeed, part of being human means being ignorant of what tomorrow holds; we can only engage with the moment at hand, which nevertheless has</w:t>
      </w:r>
      <w:r w:rsidR="000A6666" w:rsidRPr="00E54204">
        <w:rPr>
          <w:szCs w:val="20"/>
        </w:rPr>
        <w:t xml:space="preserve"> direct bearing on the future.  </w:t>
      </w:r>
      <w:r w:rsidRPr="00E54204">
        <w:rPr>
          <w:szCs w:val="20"/>
        </w:rPr>
        <w:t>In an effort to reach our intended destinations while minimizing detours, we carefully weigh out decisions, consult truste</w:t>
      </w:r>
      <w:r w:rsidR="00C663F4" w:rsidRPr="00E54204">
        <w:rPr>
          <w:szCs w:val="20"/>
        </w:rPr>
        <w:t>d friends, and look for tokens</w:t>
      </w:r>
      <w:r w:rsidR="000C074F" w:rsidRPr="00E54204">
        <w:rPr>
          <w:szCs w:val="20"/>
        </w:rPr>
        <w:t xml:space="preserve"> that might be construed as</w:t>
      </w:r>
      <w:r w:rsidRPr="00E54204">
        <w:rPr>
          <w:szCs w:val="20"/>
        </w:rPr>
        <w:t xml:space="preserve"> heavenly sign</w:t>
      </w:r>
      <w:r w:rsidR="000C074F" w:rsidRPr="00E54204">
        <w:rPr>
          <w:szCs w:val="20"/>
        </w:rPr>
        <w:t>s</w:t>
      </w:r>
      <w:r w:rsidRPr="00E54204">
        <w:rPr>
          <w:szCs w:val="20"/>
        </w:rPr>
        <w:t>.  Perhaps some can even attest to the leg</w:t>
      </w:r>
      <w:r w:rsidR="00C663F4" w:rsidRPr="00E54204">
        <w:rPr>
          <w:szCs w:val="20"/>
        </w:rPr>
        <w:t>itimacy and subsequent success</w:t>
      </w:r>
      <w:r w:rsidRPr="00E54204">
        <w:rPr>
          <w:szCs w:val="20"/>
        </w:rPr>
        <w:t xml:space="preserve"> of such a search.  People in the ancient world were no different, for they too sough</w:t>
      </w:r>
      <w:r w:rsidR="00B33463" w:rsidRPr="00E54204">
        <w:rPr>
          <w:szCs w:val="20"/>
        </w:rPr>
        <w:t>t out divine signs and</w:t>
      </w:r>
      <w:r w:rsidR="00C663F4" w:rsidRPr="00E54204">
        <w:rPr>
          <w:szCs w:val="20"/>
        </w:rPr>
        <w:t xml:space="preserve"> communication in various means</w:t>
      </w:r>
      <w:r w:rsidRPr="00E54204">
        <w:rPr>
          <w:szCs w:val="20"/>
        </w:rPr>
        <w:t>.  This the</w:t>
      </w:r>
      <w:r w:rsidR="00C663F4" w:rsidRPr="00E54204">
        <w:rPr>
          <w:szCs w:val="20"/>
        </w:rPr>
        <w:t>sis will explore one such medium as related</w:t>
      </w:r>
      <w:r w:rsidRPr="00E54204">
        <w:rPr>
          <w:szCs w:val="20"/>
        </w:rPr>
        <w:t xml:space="preserve"> in rabbinic literature, namely, the </w:t>
      </w:r>
      <w:r w:rsidRPr="00E54204">
        <w:rPr>
          <w:i/>
          <w:szCs w:val="20"/>
        </w:rPr>
        <w:t>bat kol</w:t>
      </w:r>
      <w:r w:rsidRPr="00E54204">
        <w:rPr>
          <w:szCs w:val="20"/>
        </w:rPr>
        <w:t>.</w:t>
      </w:r>
    </w:p>
    <w:p w14:paraId="743AAE27" w14:textId="77777777" w:rsidR="007F63ED" w:rsidRPr="00E54204" w:rsidRDefault="007F63ED" w:rsidP="007F63ED">
      <w:pPr>
        <w:spacing w:after="160"/>
        <w:ind w:firstLine="720"/>
        <w:rPr>
          <w:szCs w:val="20"/>
        </w:rPr>
      </w:pPr>
      <w:r w:rsidRPr="00E54204">
        <w:rPr>
          <w:szCs w:val="20"/>
        </w:rPr>
        <w:t xml:space="preserve">The </w:t>
      </w:r>
      <w:r w:rsidRPr="00E54204">
        <w:rPr>
          <w:i/>
          <w:szCs w:val="20"/>
        </w:rPr>
        <w:t xml:space="preserve">bat kol </w:t>
      </w:r>
      <w:r w:rsidRPr="00E54204">
        <w:rPr>
          <w:szCs w:val="20"/>
        </w:rPr>
        <w:t>(literally “daughter of a voice”)</w:t>
      </w:r>
      <w:r w:rsidRPr="00E54204">
        <w:rPr>
          <w:szCs w:val="20"/>
          <w:vertAlign w:val="superscript"/>
        </w:rPr>
        <w:footnoteReference w:id="1"/>
      </w:r>
      <w:r w:rsidRPr="00E54204">
        <w:rPr>
          <w:szCs w:val="20"/>
        </w:rPr>
        <w:t xml:space="preserve"> is understood as one of God’s divine attributes.</w:t>
      </w:r>
      <w:r w:rsidRPr="00E54204">
        <w:rPr>
          <w:szCs w:val="20"/>
          <w:vertAlign w:val="superscript"/>
        </w:rPr>
        <w:footnoteReference w:id="2"/>
      </w:r>
      <w:r w:rsidRPr="00E54204">
        <w:rPr>
          <w:szCs w:val="20"/>
        </w:rPr>
        <w:t xml:space="preserve">  As a divine agent it is meant to fulfill certain tasks on God’s behalf.  This thesis is concerned with exploring the role of the </w:t>
      </w:r>
      <w:r w:rsidRPr="00E54204">
        <w:rPr>
          <w:i/>
          <w:szCs w:val="20"/>
        </w:rPr>
        <w:t>bat kol</w:t>
      </w:r>
      <w:r w:rsidRPr="00E54204">
        <w:rPr>
          <w:szCs w:val="20"/>
        </w:rPr>
        <w:t xml:space="preserve"> within the rabbinic stories of the Babylonian Talmud.  It is my view that the rabbis’ employment of the </w:t>
      </w:r>
      <w:r w:rsidRPr="00E54204">
        <w:rPr>
          <w:i/>
          <w:szCs w:val="20"/>
        </w:rPr>
        <w:t>bat kol</w:t>
      </w:r>
      <w:r w:rsidRPr="00E54204">
        <w:rPr>
          <w:szCs w:val="20"/>
        </w:rPr>
        <w:t xml:space="preserve"> is best understood as a means of moralistic instruction to a beleaguered Jewish community in the first few centuries of the Common Era.  Such heavenly voices are said to have emerged only after the Holy Spirit had “departed” from Israel.  This event was reckoned to have </w:t>
      </w:r>
      <w:r w:rsidRPr="00E54204">
        <w:rPr>
          <w:szCs w:val="20"/>
        </w:rPr>
        <w:lastRenderedPageBreak/>
        <w:t>occurred with the destruction of both the First and Second Temples, correspondingly, or with the death of the last prophets, Haggai, Zechariah, and Malachi sometime during the sixth century BCE.  With the final destruction of the Temple by Roman legions in 70 CE, the rabbis articulated God’s ongoing and vibrant communication through the mysterious “daughter of a voice.”</w:t>
      </w:r>
    </w:p>
    <w:p w14:paraId="0A37F13A" w14:textId="77777777" w:rsidR="007F63ED" w:rsidRPr="00E54204" w:rsidRDefault="007F63ED" w:rsidP="007F63ED">
      <w:pPr>
        <w:spacing w:after="160"/>
        <w:ind w:firstLine="720"/>
        <w:rPr>
          <w:szCs w:val="20"/>
        </w:rPr>
      </w:pPr>
      <w:r w:rsidRPr="00E54204">
        <w:rPr>
          <w:szCs w:val="20"/>
        </w:rPr>
        <w:t xml:space="preserve">The </w:t>
      </w:r>
      <w:r w:rsidRPr="00E54204">
        <w:rPr>
          <w:i/>
          <w:szCs w:val="20"/>
        </w:rPr>
        <w:t>bat kol</w:t>
      </w:r>
      <w:r w:rsidRPr="00E54204">
        <w:rPr>
          <w:szCs w:val="20"/>
        </w:rPr>
        <w:t xml:space="preserve"> is traditionally understood as constituting part of the </w:t>
      </w:r>
      <w:r w:rsidRPr="00E54204">
        <w:rPr>
          <w:i/>
          <w:szCs w:val="20"/>
        </w:rPr>
        <w:t>Haggadic</w:t>
      </w:r>
      <w:r w:rsidRPr="00E54204">
        <w:rPr>
          <w:szCs w:val="20"/>
        </w:rPr>
        <w:t xml:space="preserve"> (i.e., lore)</w:t>
      </w:r>
      <w:r w:rsidRPr="00E54204">
        <w:rPr>
          <w:i/>
          <w:szCs w:val="20"/>
        </w:rPr>
        <w:t xml:space="preserve"> </w:t>
      </w:r>
      <w:r w:rsidRPr="00E54204">
        <w:rPr>
          <w:szCs w:val="20"/>
        </w:rPr>
        <w:t>stratum of rabbinical literature.</w:t>
      </w:r>
      <w:r w:rsidRPr="00E54204">
        <w:rPr>
          <w:szCs w:val="20"/>
          <w:vertAlign w:val="superscript"/>
        </w:rPr>
        <w:footnoteReference w:id="3"/>
      </w:r>
      <w:r w:rsidRPr="00E54204">
        <w:rPr>
          <w:szCs w:val="20"/>
        </w:rPr>
        <w:t xml:space="preserve">  </w:t>
      </w:r>
      <w:r w:rsidRPr="00E54204">
        <w:rPr>
          <w:i/>
          <w:szCs w:val="20"/>
        </w:rPr>
        <w:t xml:space="preserve">Haggadah </w:t>
      </w:r>
      <w:r w:rsidRPr="00E54204">
        <w:rPr>
          <w:szCs w:val="20"/>
        </w:rPr>
        <w:t xml:space="preserve">is typically defined as everything that is not </w:t>
      </w:r>
      <w:r w:rsidR="004B512C" w:rsidRPr="00E54204">
        <w:rPr>
          <w:i/>
          <w:szCs w:val="20"/>
        </w:rPr>
        <w:t>Halac</w:t>
      </w:r>
      <w:r w:rsidRPr="00E54204">
        <w:rPr>
          <w:i/>
          <w:szCs w:val="20"/>
        </w:rPr>
        <w:t xml:space="preserve">hic </w:t>
      </w:r>
      <w:r w:rsidRPr="00E54204">
        <w:rPr>
          <w:szCs w:val="20"/>
        </w:rPr>
        <w:t xml:space="preserve">or legal and is believed to comprise one fourth of the overall Talmudic corpus with the remaining three fourths constituting </w:t>
      </w:r>
      <w:r w:rsidR="00EF69C7" w:rsidRPr="00E54204">
        <w:rPr>
          <w:i/>
          <w:szCs w:val="20"/>
        </w:rPr>
        <w:t>Halac</w:t>
      </w:r>
      <w:r w:rsidRPr="00E54204">
        <w:rPr>
          <w:i/>
          <w:szCs w:val="20"/>
        </w:rPr>
        <w:t>ha</w:t>
      </w:r>
      <w:r w:rsidRPr="00E54204">
        <w:rPr>
          <w:szCs w:val="20"/>
        </w:rPr>
        <w:t xml:space="preserve"> or “law”.</w:t>
      </w:r>
      <w:r w:rsidRPr="00E54204">
        <w:rPr>
          <w:szCs w:val="20"/>
          <w:vertAlign w:val="superscript"/>
        </w:rPr>
        <w:footnoteReference w:id="4"/>
      </w:r>
      <w:r w:rsidRPr="00E54204">
        <w:rPr>
          <w:szCs w:val="20"/>
        </w:rPr>
        <w:t xml:space="preserve">  A certain Midrash or homiletical exegesis</w:t>
      </w:r>
      <w:r w:rsidRPr="00E54204">
        <w:rPr>
          <w:szCs w:val="20"/>
          <w:vertAlign w:val="superscript"/>
        </w:rPr>
        <w:footnoteReference w:id="5"/>
      </w:r>
      <w:r w:rsidRPr="00E54204">
        <w:rPr>
          <w:szCs w:val="20"/>
        </w:rPr>
        <w:t xml:space="preserve"> expresses the value of </w:t>
      </w:r>
      <w:r w:rsidRPr="00E54204">
        <w:rPr>
          <w:i/>
          <w:szCs w:val="20"/>
        </w:rPr>
        <w:t xml:space="preserve">Haggadah </w:t>
      </w:r>
      <w:r w:rsidRPr="00E54204">
        <w:rPr>
          <w:szCs w:val="20"/>
        </w:rPr>
        <w:t xml:space="preserve">as follows: “If you desire to know Him by whose utterance the World came into being, study the </w:t>
      </w:r>
      <w:r w:rsidRPr="00E54204">
        <w:rPr>
          <w:i/>
          <w:szCs w:val="20"/>
        </w:rPr>
        <w:t>Haggadah</w:t>
      </w:r>
      <w:r w:rsidRPr="00E54204">
        <w:rPr>
          <w:szCs w:val="20"/>
        </w:rPr>
        <w:t>, for through it you will discern Him who by His utterances called the World into being.”</w:t>
      </w:r>
      <w:r w:rsidRPr="00E54204">
        <w:rPr>
          <w:szCs w:val="20"/>
          <w:vertAlign w:val="superscript"/>
        </w:rPr>
        <w:footnoteReference w:id="6"/>
      </w:r>
      <w:r w:rsidRPr="00E54204">
        <w:rPr>
          <w:szCs w:val="20"/>
        </w:rPr>
        <w:t xml:space="preserve">  The writer of this Midrash understood </w:t>
      </w:r>
      <w:r w:rsidRPr="00E54204">
        <w:rPr>
          <w:i/>
          <w:szCs w:val="20"/>
        </w:rPr>
        <w:t xml:space="preserve">Haggadah </w:t>
      </w:r>
      <w:r w:rsidRPr="00E54204">
        <w:rPr>
          <w:szCs w:val="20"/>
        </w:rPr>
        <w:t>as a conduc</w:t>
      </w:r>
      <w:r w:rsidR="003A7211" w:rsidRPr="00E54204">
        <w:rPr>
          <w:szCs w:val="20"/>
        </w:rPr>
        <w:t xml:space="preserve">ive mean in ascertaining the </w:t>
      </w:r>
      <w:r w:rsidRPr="00E54204">
        <w:rPr>
          <w:szCs w:val="20"/>
        </w:rPr>
        <w:t xml:space="preserve">workings of God.  Thus, </w:t>
      </w:r>
      <w:r w:rsidRPr="00E54204">
        <w:rPr>
          <w:i/>
          <w:szCs w:val="20"/>
        </w:rPr>
        <w:t xml:space="preserve">Haggadah </w:t>
      </w:r>
      <w:r w:rsidRPr="00E54204">
        <w:rPr>
          <w:szCs w:val="20"/>
        </w:rPr>
        <w:t xml:space="preserve">is construed as illuminating and directing the mind beyond required legal observance.  It is no surprise then that key rabbinical figures such </w:t>
      </w:r>
      <w:r w:rsidRPr="00E54204">
        <w:rPr>
          <w:szCs w:val="20"/>
        </w:rPr>
        <w:lastRenderedPageBreak/>
        <w:t xml:space="preserve">as Hillel the Elder and Rabbi Yohanan ben Zakkai, were considered expert </w:t>
      </w:r>
      <w:r w:rsidRPr="00E54204">
        <w:rPr>
          <w:i/>
          <w:szCs w:val="20"/>
        </w:rPr>
        <w:t>Haggadists</w:t>
      </w:r>
      <w:r w:rsidRPr="00E54204">
        <w:rPr>
          <w:szCs w:val="20"/>
        </w:rPr>
        <w:t>.</w:t>
      </w:r>
      <w:r w:rsidRPr="00E54204">
        <w:rPr>
          <w:szCs w:val="20"/>
          <w:vertAlign w:val="superscript"/>
        </w:rPr>
        <w:footnoteReference w:id="7"/>
      </w:r>
      <w:r w:rsidRPr="00E54204">
        <w:rPr>
          <w:szCs w:val="20"/>
        </w:rPr>
        <w:t xml:space="preserve">  Additionally, Maimonides, the prominent Medieval Jewish philosopher and legal codifier, noted how </w:t>
      </w:r>
      <w:r w:rsidRPr="00E54204">
        <w:rPr>
          <w:i/>
          <w:szCs w:val="20"/>
        </w:rPr>
        <w:t xml:space="preserve">Haggadah </w:t>
      </w:r>
      <w:r w:rsidRPr="00E54204">
        <w:rPr>
          <w:szCs w:val="20"/>
        </w:rPr>
        <w:t>was not meant to be interpreted literally, but studied in order to extract hidden inner meanings.</w:t>
      </w:r>
      <w:r w:rsidRPr="00E54204">
        <w:rPr>
          <w:szCs w:val="20"/>
          <w:vertAlign w:val="superscript"/>
        </w:rPr>
        <w:footnoteReference w:id="8"/>
      </w:r>
      <w:r w:rsidRPr="00E54204">
        <w:rPr>
          <w:szCs w:val="20"/>
        </w:rPr>
        <w:t xml:space="preserve">  Hence within the fanciful wrappings of </w:t>
      </w:r>
      <w:r w:rsidRPr="00E54204">
        <w:rPr>
          <w:i/>
          <w:szCs w:val="20"/>
        </w:rPr>
        <w:t>Haggadah</w:t>
      </w:r>
      <w:r w:rsidRPr="00E54204">
        <w:rPr>
          <w:szCs w:val="20"/>
        </w:rPr>
        <w:t xml:space="preserve">, are important truths meant to be unraveled, including the </w:t>
      </w:r>
      <w:r w:rsidRPr="00E54204">
        <w:rPr>
          <w:i/>
          <w:szCs w:val="20"/>
        </w:rPr>
        <w:t>bat kol</w:t>
      </w:r>
      <w:r w:rsidRPr="00E54204">
        <w:rPr>
          <w:szCs w:val="20"/>
        </w:rPr>
        <w:t>.</w:t>
      </w:r>
    </w:p>
    <w:p w14:paraId="1F2DF6A5" w14:textId="77777777" w:rsidR="007F63ED" w:rsidRPr="00E54204" w:rsidRDefault="008E6448" w:rsidP="007F63ED">
      <w:pPr>
        <w:spacing w:after="160"/>
        <w:rPr>
          <w:b/>
          <w:szCs w:val="20"/>
        </w:rPr>
      </w:pPr>
      <w:r w:rsidRPr="00E54204">
        <w:rPr>
          <w:b/>
          <w:szCs w:val="20"/>
        </w:rPr>
        <w:t>I.</w:t>
      </w:r>
      <w:r w:rsidRPr="00E54204">
        <w:rPr>
          <w:b/>
          <w:szCs w:val="20"/>
        </w:rPr>
        <w:tab/>
      </w:r>
      <w:r w:rsidR="007F63ED" w:rsidRPr="00E54204">
        <w:rPr>
          <w:b/>
          <w:szCs w:val="20"/>
        </w:rPr>
        <w:t>Terms and Methodology</w:t>
      </w:r>
    </w:p>
    <w:p w14:paraId="415BD0BD" w14:textId="77777777" w:rsidR="007F63ED" w:rsidRPr="00E54204" w:rsidRDefault="007F63ED" w:rsidP="007F63ED">
      <w:pPr>
        <w:spacing w:after="160"/>
        <w:ind w:firstLine="720"/>
        <w:rPr>
          <w:i/>
          <w:szCs w:val="20"/>
        </w:rPr>
      </w:pPr>
      <w:r w:rsidRPr="00E54204">
        <w:rPr>
          <w:szCs w:val="20"/>
        </w:rPr>
        <w:t>The primary text consulted is the Babylonian Talmud,</w:t>
      </w:r>
      <w:r w:rsidRPr="00E54204">
        <w:rPr>
          <w:szCs w:val="20"/>
          <w:vertAlign w:val="superscript"/>
        </w:rPr>
        <w:footnoteReference w:id="9"/>
      </w:r>
      <w:r w:rsidRPr="00E54204">
        <w:rPr>
          <w:szCs w:val="20"/>
        </w:rPr>
        <w:t xml:space="preserve"> in addition to references from other important rabbinic works.  The term Talmud (“study/learning”) refers to two collection</w:t>
      </w:r>
      <w:r w:rsidR="002A28D8" w:rsidRPr="00E54204">
        <w:rPr>
          <w:szCs w:val="20"/>
        </w:rPr>
        <w:t>s</w:t>
      </w:r>
      <w:r w:rsidRPr="00E54204">
        <w:rPr>
          <w:szCs w:val="20"/>
        </w:rPr>
        <w:t xml:space="preserve"> of writings (the Babylonian and the Jerusalem or Yerushalmi) which combine Mishnah and </w:t>
      </w:r>
      <w:r w:rsidRPr="00E54204">
        <w:rPr>
          <w:i/>
          <w:szCs w:val="20"/>
        </w:rPr>
        <w:t>Gemara</w:t>
      </w:r>
      <w:r w:rsidRPr="00E54204">
        <w:rPr>
          <w:szCs w:val="20"/>
        </w:rPr>
        <w:t xml:space="preserve">.  The Mishnah is the work redacted by Judah ha-Nasi or Judah “The Prince” ca. 200 CE.  It is comprised of protorabbinic ordinances and stories.  The </w:t>
      </w:r>
      <w:r w:rsidRPr="00E54204">
        <w:rPr>
          <w:i/>
          <w:szCs w:val="20"/>
        </w:rPr>
        <w:t>Gemara</w:t>
      </w:r>
      <w:r w:rsidRPr="00E54204">
        <w:rPr>
          <w:szCs w:val="20"/>
        </w:rPr>
        <w:t>, which dates from about 200-525 CE,</w:t>
      </w:r>
      <w:r w:rsidRPr="00E54204">
        <w:rPr>
          <w:szCs w:val="20"/>
          <w:vertAlign w:val="superscript"/>
        </w:rPr>
        <w:footnoteReference w:id="10"/>
      </w:r>
      <w:r w:rsidRPr="00E54204">
        <w:rPr>
          <w:szCs w:val="20"/>
        </w:rPr>
        <w:t xml:space="preserve"> elucidates the Mishnah by providing Biblical justifications for said laws.  In addition to expounding on the Mishnah, the </w:t>
      </w:r>
      <w:r w:rsidRPr="00E54204">
        <w:rPr>
          <w:i/>
          <w:szCs w:val="20"/>
        </w:rPr>
        <w:t>Gemara</w:t>
      </w:r>
      <w:r w:rsidRPr="00E54204">
        <w:rPr>
          <w:szCs w:val="20"/>
        </w:rPr>
        <w:t xml:space="preserve">, also includes </w:t>
      </w:r>
      <w:r w:rsidRPr="00E54204">
        <w:rPr>
          <w:i/>
          <w:szCs w:val="20"/>
        </w:rPr>
        <w:t>Baraitot</w:t>
      </w:r>
      <w:r w:rsidRPr="00E54204">
        <w:rPr>
          <w:szCs w:val="20"/>
        </w:rPr>
        <w:t>.  These are extraneous traditions/stories not included in the final redaction of the Mishnah, and from which many stories surveyed in this thesis derive from.  In keeping with the conventional titles for rabbinic teachers, those primarily from the land of Israel</w:t>
      </w:r>
      <w:r w:rsidRPr="00E54204">
        <w:rPr>
          <w:szCs w:val="20"/>
          <w:vertAlign w:val="superscript"/>
        </w:rPr>
        <w:footnoteReference w:id="11"/>
      </w:r>
      <w:r w:rsidRPr="00E54204">
        <w:rPr>
          <w:szCs w:val="20"/>
        </w:rPr>
        <w:t xml:space="preserve"> from ca. 30 BCE to 220 CE are referred herein as </w:t>
      </w:r>
      <w:r w:rsidRPr="00E54204">
        <w:rPr>
          <w:i/>
          <w:szCs w:val="20"/>
        </w:rPr>
        <w:t>Tannaim</w:t>
      </w:r>
      <w:r w:rsidRPr="00E54204">
        <w:rPr>
          <w:szCs w:val="20"/>
        </w:rPr>
        <w:t xml:space="preserve">.  </w:t>
      </w:r>
      <w:r w:rsidRPr="00E54204">
        <w:rPr>
          <w:szCs w:val="20"/>
        </w:rPr>
        <w:lastRenderedPageBreak/>
        <w:t xml:space="preserve">Teachers from 220 to 525 CE, both from the land of Israel and from Babylonia, are referred to as </w:t>
      </w:r>
      <w:r w:rsidRPr="00E54204">
        <w:rPr>
          <w:i/>
          <w:szCs w:val="20"/>
        </w:rPr>
        <w:t>Amoraim</w:t>
      </w:r>
      <w:r w:rsidRPr="00E54204">
        <w:rPr>
          <w:szCs w:val="20"/>
        </w:rPr>
        <w:t>.</w:t>
      </w:r>
      <w:r w:rsidRPr="00E54204">
        <w:rPr>
          <w:szCs w:val="20"/>
          <w:vertAlign w:val="superscript"/>
        </w:rPr>
        <w:footnoteReference w:id="12"/>
      </w:r>
      <w:r w:rsidRPr="00E54204">
        <w:rPr>
          <w:szCs w:val="20"/>
        </w:rPr>
        <w:t xml:space="preserve">  In addition, I will make occasionally specify to which corresponding generation a given sage is associated with (e.g., 1</w:t>
      </w:r>
      <w:r w:rsidRPr="00E54204">
        <w:rPr>
          <w:szCs w:val="20"/>
          <w:vertAlign w:val="superscript"/>
        </w:rPr>
        <w:t>st</w:t>
      </w:r>
      <w:r w:rsidRPr="00E54204">
        <w:rPr>
          <w:szCs w:val="20"/>
        </w:rPr>
        <w:t xml:space="preserve"> generation </w:t>
      </w:r>
      <w:r w:rsidRPr="00E54204">
        <w:rPr>
          <w:i/>
          <w:szCs w:val="20"/>
        </w:rPr>
        <w:t xml:space="preserve">Tannaim </w:t>
      </w:r>
      <w:r w:rsidRPr="00E54204">
        <w:rPr>
          <w:szCs w:val="20"/>
        </w:rPr>
        <w:t>70-90 CE, 1</w:t>
      </w:r>
      <w:r w:rsidRPr="00E54204">
        <w:rPr>
          <w:szCs w:val="20"/>
          <w:vertAlign w:val="superscript"/>
        </w:rPr>
        <w:t>st</w:t>
      </w:r>
      <w:r w:rsidRPr="00E54204">
        <w:rPr>
          <w:szCs w:val="20"/>
        </w:rPr>
        <w:t xml:space="preserve"> generation </w:t>
      </w:r>
      <w:r w:rsidRPr="00E54204">
        <w:rPr>
          <w:i/>
          <w:szCs w:val="20"/>
        </w:rPr>
        <w:t xml:space="preserve">Amoraim </w:t>
      </w:r>
      <w:r w:rsidRPr="00E54204">
        <w:rPr>
          <w:szCs w:val="20"/>
        </w:rPr>
        <w:t xml:space="preserve">230-250 CE, etc.).   </w:t>
      </w:r>
      <w:r w:rsidRPr="00E54204">
        <w:rPr>
          <w:i/>
          <w:szCs w:val="20"/>
        </w:rPr>
        <w:t xml:space="preserve">  </w:t>
      </w:r>
    </w:p>
    <w:p w14:paraId="7A63B05C" w14:textId="77777777" w:rsidR="007F63ED" w:rsidRPr="00E54204" w:rsidRDefault="007F63ED" w:rsidP="007F63ED">
      <w:pPr>
        <w:spacing w:after="160"/>
        <w:ind w:firstLine="720"/>
        <w:rPr>
          <w:i/>
          <w:szCs w:val="20"/>
        </w:rPr>
      </w:pPr>
      <w:r w:rsidRPr="00E54204">
        <w:rPr>
          <w:szCs w:val="20"/>
        </w:rPr>
        <w:t xml:space="preserve">In a few places I convey words and or sentences in Hebrew, Aramaic, or Greek in addition to a translation.  These segments are meant to enhance the reader’s appreciation of the discussion of any given text.  Translations other than mine are noted accordingly.  The primary source is in Mishnaic (or Rabbinic) Hebrew and Aramaic.  However, I have primarily utilized the </w:t>
      </w:r>
      <w:r w:rsidRPr="00E54204">
        <w:rPr>
          <w:i/>
          <w:szCs w:val="20"/>
        </w:rPr>
        <w:t xml:space="preserve">Schottenstein </w:t>
      </w:r>
      <w:r w:rsidRPr="00E54204">
        <w:rPr>
          <w:szCs w:val="20"/>
        </w:rPr>
        <w:t>edition of the Babylonian Talmud by Mesorah Publications for translations including the text in both its original language in addition to a straightforward English translation.</w:t>
      </w:r>
      <w:r w:rsidRPr="00E54204">
        <w:rPr>
          <w:szCs w:val="20"/>
          <w:vertAlign w:val="superscript"/>
        </w:rPr>
        <w:footnoteReference w:id="13"/>
      </w:r>
      <w:r w:rsidRPr="00E54204">
        <w:rPr>
          <w:szCs w:val="20"/>
        </w:rPr>
        <w:t xml:space="preserve">  Moreover, at times I have employed other scholarly resources like Marcus Jastrow’s dictionary of rabbinic terms.</w:t>
      </w:r>
      <w:r w:rsidRPr="00E54204">
        <w:rPr>
          <w:szCs w:val="20"/>
          <w:vertAlign w:val="superscript"/>
        </w:rPr>
        <w:footnoteReference w:id="14"/>
      </w:r>
      <w:r w:rsidRPr="00E54204">
        <w:rPr>
          <w:szCs w:val="20"/>
        </w:rPr>
        <w:t xml:space="preserve">  Bible translations are primarily taken from the New King James Version, unless otherwise noted.</w:t>
      </w:r>
    </w:p>
    <w:p w14:paraId="5D71A11F" w14:textId="77777777" w:rsidR="007F63ED" w:rsidRPr="00E54204" w:rsidRDefault="007F63ED" w:rsidP="007F63ED">
      <w:pPr>
        <w:spacing w:after="160"/>
        <w:ind w:firstLine="720"/>
        <w:rPr>
          <w:szCs w:val="20"/>
        </w:rPr>
      </w:pPr>
      <w:r w:rsidRPr="00E54204">
        <w:rPr>
          <w:szCs w:val="20"/>
        </w:rPr>
        <w:t xml:space="preserve">Commentary is provided for each example noting details such as context, characters, and narrative structure, in addition to references from parallel versions and or supplemental stories from sources such as the Mishnah, Tosefta, Yerushalmi (Jerusalem) Talmud, et al.  These synoptic readings enable scholars to better interpret the material in </w:t>
      </w:r>
      <w:r w:rsidRPr="00E54204">
        <w:rPr>
          <w:szCs w:val="20"/>
        </w:rPr>
        <w:lastRenderedPageBreak/>
        <w:t xml:space="preserve">order to explicate issues related to redactional and historical topics.  I will occasionally allude to such perspectives in order to enhance my own analysis.  </w:t>
      </w:r>
    </w:p>
    <w:p w14:paraId="6B3F0B16" w14:textId="77777777" w:rsidR="007F63ED" w:rsidRPr="00E54204" w:rsidRDefault="007F63ED" w:rsidP="007F63ED">
      <w:pPr>
        <w:spacing w:after="160"/>
        <w:ind w:firstLine="720"/>
        <w:rPr>
          <w:szCs w:val="20"/>
        </w:rPr>
      </w:pPr>
      <w:r w:rsidRPr="00E54204">
        <w:rPr>
          <w:szCs w:val="20"/>
        </w:rPr>
        <w:t xml:space="preserve">My methodology consists mainly of both philological and literary approaches.  The Philological aspect seeks to analyze pertinent information conveyed in the language of any given story.  The words attributed to the </w:t>
      </w:r>
      <w:r w:rsidRPr="00E54204">
        <w:rPr>
          <w:i/>
          <w:szCs w:val="20"/>
        </w:rPr>
        <w:t>bat kol</w:t>
      </w:r>
      <w:r w:rsidRPr="00E54204">
        <w:rPr>
          <w:szCs w:val="20"/>
        </w:rPr>
        <w:t xml:space="preserve">, for instance, form the foundation for category titles and their subsequent interpretations.  Similarly, observing recurring expressions in various stories is identified and analyzed.  My hermeneutical approach, furthermore, is also informed by the literary genre of rabbinic stories in general.  I consult various scholars on </w:t>
      </w:r>
      <w:r w:rsidRPr="00E54204">
        <w:rPr>
          <w:i/>
          <w:szCs w:val="20"/>
        </w:rPr>
        <w:t>Haggadah</w:t>
      </w:r>
      <w:r w:rsidRPr="00E54204">
        <w:rPr>
          <w:szCs w:val="20"/>
        </w:rPr>
        <w:t xml:space="preserve"> such as Z.H. Chajes, Raphael Patai, and Geoffrey H. Hartman and Sanford Budick, et al.  These secondary sources provide commentary, explanations, and insights related to the multifaceted </w:t>
      </w:r>
      <w:r w:rsidRPr="00E54204">
        <w:rPr>
          <w:i/>
          <w:szCs w:val="20"/>
        </w:rPr>
        <w:t>Haggadah</w:t>
      </w:r>
      <w:r w:rsidRPr="00E54204">
        <w:rPr>
          <w:szCs w:val="20"/>
        </w:rPr>
        <w:t xml:space="preserve">.  This in turn facilitates insightful interpretations of the </w:t>
      </w:r>
      <w:r w:rsidRPr="00E54204">
        <w:rPr>
          <w:i/>
          <w:szCs w:val="20"/>
        </w:rPr>
        <w:t>bat kol</w:t>
      </w:r>
      <w:r w:rsidRPr="00E54204">
        <w:rPr>
          <w:szCs w:val="20"/>
        </w:rPr>
        <w:t xml:space="preserve"> within a more concrete literary context.  While Talmudic literature is known not as a historical work in the modern sense of the word, it is nonetheless interspersed with historical details within its discursive fabric.  As a result, I also include scholarly commentaries on historical periods and characters alluded to in such texts.   </w:t>
      </w:r>
    </w:p>
    <w:p w14:paraId="6C992940" w14:textId="77777777" w:rsidR="007F63ED" w:rsidRPr="00E54204" w:rsidRDefault="008E6448" w:rsidP="007F63ED">
      <w:pPr>
        <w:spacing w:after="160"/>
        <w:rPr>
          <w:b/>
          <w:szCs w:val="20"/>
        </w:rPr>
      </w:pPr>
      <w:r w:rsidRPr="00E54204">
        <w:rPr>
          <w:b/>
          <w:szCs w:val="20"/>
        </w:rPr>
        <w:t>II.</w:t>
      </w:r>
      <w:r w:rsidRPr="00E54204">
        <w:rPr>
          <w:b/>
          <w:szCs w:val="20"/>
        </w:rPr>
        <w:tab/>
      </w:r>
      <w:r w:rsidR="00A0386A" w:rsidRPr="00E54204">
        <w:rPr>
          <w:b/>
          <w:szCs w:val="20"/>
        </w:rPr>
        <w:t>Chapter Overviews</w:t>
      </w:r>
    </w:p>
    <w:p w14:paraId="4AD06992" w14:textId="77777777" w:rsidR="007F63ED" w:rsidRPr="00E54204" w:rsidRDefault="00DC0B99" w:rsidP="007F63ED">
      <w:pPr>
        <w:spacing w:after="160"/>
        <w:rPr>
          <w:szCs w:val="20"/>
        </w:rPr>
      </w:pPr>
      <w:r w:rsidRPr="00E54204">
        <w:rPr>
          <w:szCs w:val="20"/>
        </w:rPr>
        <w:t>A.</w:t>
      </w:r>
      <w:r w:rsidRPr="00E54204">
        <w:rPr>
          <w:szCs w:val="20"/>
        </w:rPr>
        <w:tab/>
      </w:r>
      <w:r w:rsidR="007F63ED" w:rsidRPr="00E54204">
        <w:rPr>
          <w:i/>
          <w:szCs w:val="20"/>
        </w:rPr>
        <w:t>Literature Review:</w:t>
      </w:r>
    </w:p>
    <w:p w14:paraId="386EE07A" w14:textId="77777777" w:rsidR="00C84773" w:rsidRPr="00E54204" w:rsidRDefault="007F63ED" w:rsidP="007F63ED">
      <w:pPr>
        <w:spacing w:after="160"/>
        <w:rPr>
          <w:szCs w:val="20"/>
        </w:rPr>
      </w:pPr>
      <w:r w:rsidRPr="00E54204">
        <w:rPr>
          <w:szCs w:val="20"/>
        </w:rPr>
        <w:tab/>
        <w:t xml:space="preserve">The first chapter consists of a cursory overview of about twenty, Jewish and Christian, scholarly works on the </w:t>
      </w:r>
      <w:r w:rsidRPr="00E54204">
        <w:rPr>
          <w:i/>
          <w:szCs w:val="20"/>
        </w:rPr>
        <w:t>bat kol</w:t>
      </w:r>
      <w:r w:rsidR="00C84773" w:rsidRPr="00E54204">
        <w:rPr>
          <w:szCs w:val="20"/>
        </w:rPr>
        <w:t>.  The</w:t>
      </w:r>
      <w:r w:rsidRPr="00E54204">
        <w:rPr>
          <w:szCs w:val="20"/>
        </w:rPr>
        <w:t xml:space="preserve"> dates of </w:t>
      </w:r>
      <w:r w:rsidR="00C84773" w:rsidRPr="00E54204">
        <w:rPr>
          <w:szCs w:val="20"/>
        </w:rPr>
        <w:t xml:space="preserve">publication are from </w:t>
      </w:r>
      <w:r w:rsidRPr="00E54204">
        <w:rPr>
          <w:szCs w:val="20"/>
        </w:rPr>
        <w:t xml:space="preserve">the last one hundred years, roughly speaking.  This review is by no means exhaustive, with more time I would integrate and synthesize more sources.  Instead, this chapter is meant to provide </w:t>
      </w:r>
      <w:r w:rsidRPr="00E54204">
        <w:rPr>
          <w:szCs w:val="20"/>
        </w:rPr>
        <w:lastRenderedPageBreak/>
        <w:t xml:space="preserve">the reader with an adequate understanding of the main views on the </w:t>
      </w:r>
      <w:r w:rsidRPr="00E54204">
        <w:rPr>
          <w:i/>
          <w:szCs w:val="20"/>
        </w:rPr>
        <w:t>bat kol</w:t>
      </w:r>
      <w:r w:rsidRPr="00E54204">
        <w:rPr>
          <w:szCs w:val="20"/>
        </w:rPr>
        <w:t xml:space="preserve">, as the rabbis left no explanation for this phenomenon.  Therefore, to a degree, scholars have had to infer as to its nature and function via the stories written by the sages.  Several scholars purport that the word </w:t>
      </w:r>
      <w:r w:rsidRPr="00E54204">
        <w:rPr>
          <w:i/>
          <w:szCs w:val="20"/>
        </w:rPr>
        <w:t xml:space="preserve">bat </w:t>
      </w:r>
      <w:r w:rsidRPr="00E54204">
        <w:rPr>
          <w:szCs w:val="20"/>
        </w:rPr>
        <w:t xml:space="preserve">is meant to convey an “echo.”  Others, such as Ludwig Blau and Kauffmann Kohler suggest it means a “reverberation” or “hum” and define the </w:t>
      </w:r>
      <w:r w:rsidRPr="00E54204">
        <w:rPr>
          <w:i/>
          <w:szCs w:val="20"/>
        </w:rPr>
        <w:t>bat kol</w:t>
      </w:r>
      <w:r w:rsidRPr="00E54204">
        <w:rPr>
          <w:szCs w:val="20"/>
        </w:rPr>
        <w:t xml:space="preserve"> as a disembodied voice often synonymous with God and or the Holy Spirit.</w:t>
      </w:r>
      <w:r w:rsidRPr="00E54204">
        <w:rPr>
          <w:szCs w:val="20"/>
          <w:vertAlign w:val="superscript"/>
        </w:rPr>
        <w:footnoteReference w:id="15"/>
      </w:r>
      <w:r w:rsidRPr="00E54204">
        <w:rPr>
          <w:szCs w:val="20"/>
        </w:rPr>
        <w:t xml:space="preserve">  </w:t>
      </w:r>
    </w:p>
    <w:p w14:paraId="10A68B61" w14:textId="77777777" w:rsidR="007F63ED" w:rsidRPr="00E54204" w:rsidRDefault="00C84773" w:rsidP="00C84773">
      <w:pPr>
        <w:spacing w:after="160"/>
        <w:ind w:firstLine="720"/>
        <w:rPr>
          <w:i/>
          <w:szCs w:val="20"/>
        </w:rPr>
      </w:pPr>
      <w:r w:rsidRPr="00E54204">
        <w:rPr>
          <w:szCs w:val="20"/>
        </w:rPr>
        <w:t>Scholars such as John Nicholson and</w:t>
      </w:r>
      <w:r w:rsidR="00BF4657" w:rsidRPr="00E54204">
        <w:rPr>
          <w:szCs w:val="20"/>
        </w:rPr>
        <w:t xml:space="preserve"> S. Louis note</w:t>
      </w:r>
      <w:r w:rsidR="007F63ED" w:rsidRPr="00E54204">
        <w:rPr>
          <w:szCs w:val="20"/>
        </w:rPr>
        <w:t xml:space="preserve"> that this voice may have possibly existed only </w:t>
      </w:r>
      <w:r w:rsidRPr="00E54204">
        <w:rPr>
          <w:szCs w:val="20"/>
        </w:rPr>
        <w:t>in the individual’s mind.  While a prevalent definition is its function as a</w:t>
      </w:r>
      <w:r w:rsidR="007F63ED" w:rsidRPr="00E54204">
        <w:rPr>
          <w:szCs w:val="20"/>
        </w:rPr>
        <w:t xml:space="preserve"> harbinger of God’s will.  Alexander Guttman</w:t>
      </w:r>
      <w:r w:rsidR="002B59CF" w:rsidRPr="00E54204">
        <w:rPr>
          <w:szCs w:val="20"/>
        </w:rPr>
        <w:t>n</w:t>
      </w:r>
      <w:r w:rsidR="007F63ED" w:rsidRPr="00E54204">
        <w:rPr>
          <w:szCs w:val="20"/>
        </w:rPr>
        <w:t xml:space="preserve"> a</w:t>
      </w:r>
      <w:r w:rsidRPr="00E54204">
        <w:rPr>
          <w:szCs w:val="20"/>
        </w:rPr>
        <w:t xml:space="preserve">nd Arthur Marmorstein discern in the usage of the </w:t>
      </w:r>
      <w:r w:rsidRPr="00E54204">
        <w:rPr>
          <w:i/>
          <w:szCs w:val="20"/>
        </w:rPr>
        <w:t xml:space="preserve">bat kol </w:t>
      </w:r>
      <w:r w:rsidRPr="00E54204">
        <w:rPr>
          <w:szCs w:val="20"/>
        </w:rPr>
        <w:t>possibly polemical motives</w:t>
      </w:r>
      <w:r w:rsidR="007F63ED" w:rsidRPr="00E54204">
        <w:rPr>
          <w:szCs w:val="20"/>
        </w:rPr>
        <w:t>.  And Saul Lieberman observes how it was employed in oracular fashion, which is to say to a medium of divine consultation through chance utterances.</w:t>
      </w:r>
      <w:r w:rsidR="007F63ED" w:rsidRPr="00E54204">
        <w:rPr>
          <w:i/>
          <w:szCs w:val="20"/>
        </w:rPr>
        <w:t xml:space="preserve">  </w:t>
      </w:r>
    </w:p>
    <w:p w14:paraId="603DC0A8" w14:textId="77777777" w:rsidR="007F63ED" w:rsidRPr="00E54204" w:rsidRDefault="007F63ED" w:rsidP="007F63ED">
      <w:pPr>
        <w:spacing w:after="160"/>
        <w:ind w:firstLine="720"/>
        <w:rPr>
          <w:szCs w:val="20"/>
        </w:rPr>
      </w:pPr>
      <w:r w:rsidRPr="00E54204">
        <w:rPr>
          <w:szCs w:val="20"/>
        </w:rPr>
        <w:t>Nevertheless, this</w:t>
      </w:r>
      <w:r w:rsidR="00C84773" w:rsidRPr="00E54204">
        <w:rPr>
          <w:szCs w:val="20"/>
        </w:rPr>
        <w:t xml:space="preserve"> thesis represents a focused</w:t>
      </w:r>
      <w:r w:rsidRPr="00E54204">
        <w:rPr>
          <w:szCs w:val="20"/>
        </w:rPr>
        <w:t xml:space="preserve"> effort to analyze the role of the </w:t>
      </w:r>
      <w:r w:rsidRPr="00E54204">
        <w:rPr>
          <w:i/>
          <w:szCs w:val="20"/>
        </w:rPr>
        <w:t>bat kol</w:t>
      </w:r>
      <w:r w:rsidRPr="00E54204">
        <w:rPr>
          <w:szCs w:val="20"/>
        </w:rPr>
        <w:t xml:space="preserve"> as a literary theme in</w:t>
      </w:r>
      <w:r w:rsidR="00C84773" w:rsidRPr="00E54204">
        <w:rPr>
          <w:szCs w:val="20"/>
        </w:rPr>
        <w:t xml:space="preserve"> the Bavli</w:t>
      </w:r>
      <w:r w:rsidRPr="00E54204">
        <w:rPr>
          <w:szCs w:val="20"/>
        </w:rPr>
        <w:t xml:space="preserve">.  The works presented in the review include sub-sections of chapters pertaining either to prophecy, Holy Spirit, or </w:t>
      </w:r>
      <w:r w:rsidRPr="00E54204">
        <w:rPr>
          <w:i/>
          <w:szCs w:val="20"/>
        </w:rPr>
        <w:t>Haggadah</w:t>
      </w:r>
      <w:r w:rsidRPr="00E54204">
        <w:rPr>
          <w:szCs w:val="20"/>
        </w:rPr>
        <w:t xml:space="preserve">, as well as encyclopedic articles.  In his article, S. Louis, proposed several categories by which to catalogue the many occurrences of the </w:t>
      </w:r>
      <w:r w:rsidRPr="00E54204">
        <w:rPr>
          <w:i/>
          <w:szCs w:val="20"/>
        </w:rPr>
        <w:t>bat kol</w:t>
      </w:r>
      <w:r w:rsidR="0086793F" w:rsidRPr="00E54204">
        <w:rPr>
          <w:szCs w:val="20"/>
        </w:rPr>
        <w:t>;</w:t>
      </w:r>
      <w:r w:rsidRPr="00E54204">
        <w:rPr>
          <w:szCs w:val="20"/>
        </w:rPr>
        <w:t xml:space="preserve"> that format has been employed in this thesis as well.  Admittedly, the categories selected in this thesis were chosen because they were the author’s preference for best capturing the essence of the “voice from heaven.”  </w:t>
      </w:r>
      <w:r w:rsidRPr="00E54204">
        <w:rPr>
          <w:szCs w:val="20"/>
        </w:rPr>
        <w:lastRenderedPageBreak/>
        <w:t xml:space="preserve">Other scholars have proposed different categories such as embellishing Biblical narratives, and appearing during supernatural events.  </w:t>
      </w:r>
    </w:p>
    <w:p w14:paraId="3C14E49E" w14:textId="77777777" w:rsidR="007F63ED" w:rsidRPr="00E54204" w:rsidRDefault="00DC0B99" w:rsidP="007F63ED">
      <w:pPr>
        <w:spacing w:after="160"/>
        <w:rPr>
          <w:i/>
          <w:szCs w:val="20"/>
        </w:rPr>
      </w:pPr>
      <w:r w:rsidRPr="00E54204">
        <w:rPr>
          <w:szCs w:val="20"/>
        </w:rPr>
        <w:t>B.</w:t>
      </w:r>
      <w:r w:rsidRPr="00E54204">
        <w:rPr>
          <w:szCs w:val="20"/>
        </w:rPr>
        <w:tab/>
      </w:r>
      <w:r w:rsidRPr="00E54204">
        <w:rPr>
          <w:i/>
          <w:szCs w:val="20"/>
        </w:rPr>
        <w:t>Origins</w:t>
      </w:r>
      <w:r w:rsidR="007F63ED" w:rsidRPr="00E54204">
        <w:rPr>
          <w:i/>
          <w:szCs w:val="20"/>
        </w:rPr>
        <w:t>:</w:t>
      </w:r>
    </w:p>
    <w:p w14:paraId="08935758" w14:textId="77777777" w:rsidR="007F63ED" w:rsidRPr="00E54204" w:rsidRDefault="007F63ED" w:rsidP="007F63ED">
      <w:pPr>
        <w:spacing w:after="160"/>
        <w:rPr>
          <w:szCs w:val="20"/>
        </w:rPr>
      </w:pPr>
      <w:r w:rsidRPr="00E54204">
        <w:rPr>
          <w:szCs w:val="20"/>
        </w:rPr>
        <w:tab/>
        <w:t xml:space="preserve">The following chapter is devoted to exploring cognates within various bodies of literature in order to point to plausible relationships.  The chosen bodies of literature are Biblical, Apocalyptic, and Hellenistic.  I do not set out to make any definitive claims but rather propose that these sources may have influenced the rabbis in their description of the </w:t>
      </w:r>
      <w:r w:rsidRPr="00E54204">
        <w:rPr>
          <w:i/>
          <w:szCs w:val="20"/>
        </w:rPr>
        <w:t>bat kol</w:t>
      </w:r>
      <w:r w:rsidRPr="00E54204">
        <w:rPr>
          <w:szCs w:val="20"/>
        </w:rPr>
        <w:t xml:space="preserve">.  This chapter delves into the topic on an introductory and comparative level.  Furthermore, I briefly address the subject of “cessation of prophecy” according to a rabbinic dictum.  Both rabbinic and contemporary sources such as those found at Qumran, depict prophetic activity as ongoing and even desirable.  The subject was more nuanced both for the rabbinic fold and for other sects of the Second Temple period.  </w:t>
      </w:r>
    </w:p>
    <w:p w14:paraId="178A8B8F" w14:textId="77777777" w:rsidR="007F63ED" w:rsidRPr="00E54204" w:rsidRDefault="007F63ED" w:rsidP="007F63ED">
      <w:pPr>
        <w:spacing w:after="160"/>
        <w:ind w:firstLine="720"/>
        <w:rPr>
          <w:szCs w:val="20"/>
        </w:rPr>
      </w:pPr>
      <w:r w:rsidRPr="00E54204">
        <w:rPr>
          <w:szCs w:val="20"/>
        </w:rPr>
        <w:t>In one specific Biblical episode in which king Nebuchadnezzar is addressed spontaneously from a voice from heaven, I will present details pa</w:t>
      </w:r>
      <w:r w:rsidR="001122E7" w:rsidRPr="00E54204">
        <w:rPr>
          <w:szCs w:val="20"/>
        </w:rPr>
        <w:t>ralleling its use with a rabbinic anecdote and suggest that</w:t>
      </w:r>
      <w:r w:rsidRPr="00E54204">
        <w:rPr>
          <w:szCs w:val="20"/>
        </w:rPr>
        <w:t xml:space="preserve"> th</w:t>
      </w:r>
      <w:r w:rsidR="001122E7" w:rsidRPr="00E54204">
        <w:rPr>
          <w:szCs w:val="20"/>
        </w:rPr>
        <w:t xml:space="preserve">e rabbinic story is </w:t>
      </w:r>
      <w:r w:rsidRPr="00E54204">
        <w:rPr>
          <w:szCs w:val="20"/>
        </w:rPr>
        <w:t xml:space="preserve">reliant on the Biblical account.  Both stories are reflective of one another in terms of manifestation, words, and the main character of the story.  I will also draw in other parallels such as the intervening “voice from heaven” in Isaac’s binding and Ishmael and Hagar’s deliverance.  Therefore, I propose it is highly plausible that the </w:t>
      </w:r>
      <w:r w:rsidRPr="00E54204">
        <w:rPr>
          <w:i/>
          <w:szCs w:val="20"/>
        </w:rPr>
        <w:t>bat kol</w:t>
      </w:r>
      <w:r w:rsidRPr="00E54204">
        <w:rPr>
          <w:szCs w:val="20"/>
        </w:rPr>
        <w:t xml:space="preserve"> was greatly informed by the “voices from heaven” found throughout Biblical literature.  This is all the more likely considering how well acquainted the rabbis were with the language and content of the Biblical milieu as reflected in their Midrashic compilations. </w:t>
      </w:r>
    </w:p>
    <w:p w14:paraId="3918B674" w14:textId="77777777" w:rsidR="00DC0B99" w:rsidRPr="00E54204" w:rsidRDefault="007F63ED" w:rsidP="007F63ED">
      <w:pPr>
        <w:spacing w:after="160"/>
        <w:rPr>
          <w:szCs w:val="20"/>
        </w:rPr>
      </w:pPr>
      <w:r w:rsidRPr="00E54204">
        <w:rPr>
          <w:szCs w:val="20"/>
        </w:rPr>
        <w:lastRenderedPageBreak/>
        <w:tab/>
        <w:t>Closer in chronology is the genre of apocalyptic literature.  This section presents an overview of 2 (Syriac) Baruch, 3 (Greek) Ba</w:t>
      </w:r>
      <w:r w:rsidR="009A6B53" w:rsidRPr="00E54204">
        <w:rPr>
          <w:szCs w:val="20"/>
        </w:rPr>
        <w:t xml:space="preserve">ruch, and 4 Ezra.  </w:t>
      </w:r>
      <w:r w:rsidRPr="00E54204">
        <w:rPr>
          <w:szCs w:val="20"/>
        </w:rPr>
        <w:t>The main thesis of this subsection is that heavenly voices played a central role in such literature, typically as beings directing, so to speak, the activities in the heavenly realm</w:t>
      </w:r>
      <w:r w:rsidR="009A6B53" w:rsidRPr="00E54204">
        <w:rPr>
          <w:szCs w:val="20"/>
        </w:rPr>
        <w:t xml:space="preserve"> during an individual’s heavenly ascent</w:t>
      </w:r>
      <w:r w:rsidRPr="00E54204">
        <w:rPr>
          <w:szCs w:val="20"/>
        </w:rPr>
        <w:t>.  My research is complimented with numerous scholars, such as John Col</w:t>
      </w:r>
      <w:r w:rsidR="009A6B53" w:rsidRPr="00E54204">
        <w:rPr>
          <w:szCs w:val="20"/>
        </w:rPr>
        <w:t>lins and David Aune, who expound</w:t>
      </w:r>
      <w:r w:rsidRPr="00E54204">
        <w:rPr>
          <w:szCs w:val="20"/>
        </w:rPr>
        <w:t xml:space="preserve"> on the nature of apocalypticism, Biblical prophecy, and rabbinic literature.  Though some scholars have denie</w:t>
      </w:r>
      <w:r w:rsidR="009A6B53" w:rsidRPr="00E54204">
        <w:rPr>
          <w:szCs w:val="20"/>
        </w:rPr>
        <w:t>d the</w:t>
      </w:r>
      <w:r w:rsidRPr="00E54204">
        <w:rPr>
          <w:szCs w:val="20"/>
        </w:rPr>
        <w:t xml:space="preserve"> relationship between apocalyptic and rabbinic writings other scholars have suggested a different reality.  I affirm the latter view and present a few pieces of evidence why a relationship between the two is</w:t>
      </w:r>
      <w:r w:rsidR="009A6B53" w:rsidRPr="00E54204">
        <w:rPr>
          <w:szCs w:val="20"/>
        </w:rPr>
        <w:t xml:space="preserve"> actually</w:t>
      </w:r>
      <w:r w:rsidRPr="00E54204">
        <w:rPr>
          <w:szCs w:val="20"/>
        </w:rPr>
        <w:t xml:space="preserve"> conceivable.  These sources contain numerous instances of heavenly voices in what are typically scenes of ascent into heaven.  They also share common themes in rabbinic writings such as reward and punishment in the afterlife, and the problem of evil. </w:t>
      </w:r>
    </w:p>
    <w:p w14:paraId="041C6140" w14:textId="77777777" w:rsidR="007F63ED" w:rsidRPr="00E54204" w:rsidRDefault="00DC0B99" w:rsidP="00DC0B99">
      <w:pPr>
        <w:spacing w:after="160"/>
        <w:ind w:firstLine="720"/>
        <w:rPr>
          <w:szCs w:val="20"/>
        </w:rPr>
      </w:pPr>
      <w:r w:rsidRPr="00E54204">
        <w:rPr>
          <w:szCs w:val="20"/>
        </w:rPr>
        <w:t xml:space="preserve"> An </w:t>
      </w:r>
      <w:r w:rsidR="00354A8B" w:rsidRPr="00E54204">
        <w:rPr>
          <w:szCs w:val="20"/>
        </w:rPr>
        <w:t>in</w:t>
      </w:r>
      <w:r w:rsidRPr="00E54204">
        <w:rPr>
          <w:szCs w:val="20"/>
        </w:rPr>
        <w:t>sufficient amount of data is presented concerning Hellenistic examples that</w:t>
      </w:r>
      <w:r w:rsidR="007F63ED" w:rsidRPr="00E54204">
        <w:rPr>
          <w:szCs w:val="20"/>
        </w:rPr>
        <w:t xml:space="preserve"> draw comparison with the </w:t>
      </w:r>
      <w:r w:rsidR="007F63ED" w:rsidRPr="00E54204">
        <w:rPr>
          <w:i/>
          <w:szCs w:val="20"/>
        </w:rPr>
        <w:t>bat kol</w:t>
      </w:r>
      <w:r w:rsidR="007F63ED" w:rsidRPr="00E54204">
        <w:rPr>
          <w:szCs w:val="20"/>
        </w:rPr>
        <w:t xml:space="preserve">, particularly in their description of heavenly voices echoing from </w:t>
      </w:r>
      <w:r w:rsidRPr="00E54204">
        <w:rPr>
          <w:szCs w:val="20"/>
        </w:rPr>
        <w:t>Greek temples.  Similar</w:t>
      </w:r>
      <w:r w:rsidR="007F63ED" w:rsidRPr="00E54204">
        <w:rPr>
          <w:szCs w:val="20"/>
        </w:rPr>
        <w:t xml:space="preserve"> events are also attested by the Roman-Jewish historian, Flavius Josephus, in his work entitled </w:t>
      </w:r>
      <w:r w:rsidR="007F63ED" w:rsidRPr="00E54204">
        <w:rPr>
          <w:i/>
          <w:szCs w:val="20"/>
        </w:rPr>
        <w:t>Antiquities</w:t>
      </w:r>
      <w:r w:rsidR="00C07718" w:rsidRPr="00E54204">
        <w:rPr>
          <w:szCs w:val="20"/>
        </w:rPr>
        <w:t xml:space="preserve"> as well as in both the Jerusalem and Babylonian Talmudim</w:t>
      </w:r>
      <w:r w:rsidR="007F63ED" w:rsidRPr="00E54204">
        <w:rPr>
          <w:szCs w:val="20"/>
        </w:rPr>
        <w:t>.</w:t>
      </w:r>
      <w:r w:rsidR="007F63ED" w:rsidRPr="00E54204">
        <w:rPr>
          <w:szCs w:val="20"/>
          <w:vertAlign w:val="superscript"/>
        </w:rPr>
        <w:footnoteReference w:id="16"/>
      </w:r>
      <w:r w:rsidR="007F63ED" w:rsidRPr="00E54204">
        <w:rPr>
          <w:szCs w:val="20"/>
        </w:rPr>
        <w:t xml:space="preserve">  Moreover, I include Josephus’ description of Jesus son of Ananias’ oracle of doom which references “a voice.”  In sum, many works exhibit heavenly voices sounding off at various times and places.  My understanding is that vestiges of the heavenly voices from Biblical and Apocalyptic works are most </w:t>
      </w:r>
      <w:r w:rsidR="007F63ED" w:rsidRPr="00E54204">
        <w:rPr>
          <w:szCs w:val="20"/>
        </w:rPr>
        <w:lastRenderedPageBreak/>
        <w:t xml:space="preserve">palpable in the stories of the </w:t>
      </w:r>
      <w:r w:rsidR="007F63ED" w:rsidRPr="00E54204">
        <w:rPr>
          <w:i/>
          <w:szCs w:val="20"/>
        </w:rPr>
        <w:t>bat kol</w:t>
      </w:r>
      <w:r w:rsidR="007F63ED" w:rsidRPr="00E54204">
        <w:rPr>
          <w:szCs w:val="20"/>
        </w:rPr>
        <w:t>.</w:t>
      </w:r>
      <w:r w:rsidRPr="00E54204">
        <w:rPr>
          <w:szCs w:val="20"/>
        </w:rPr>
        <w:t xml:space="preserve">  </w:t>
      </w:r>
      <w:r w:rsidR="00354A8B" w:rsidRPr="00E54204">
        <w:rPr>
          <w:szCs w:val="20"/>
        </w:rPr>
        <w:t xml:space="preserve">I have merely sought to introduce these ancient works without a proper in-depth look at these sources.  </w:t>
      </w:r>
      <w:r w:rsidRPr="00E54204">
        <w:rPr>
          <w:szCs w:val="20"/>
        </w:rPr>
        <w:t>The</w:t>
      </w:r>
      <w:r w:rsidR="00354A8B" w:rsidRPr="00E54204">
        <w:rPr>
          <w:szCs w:val="20"/>
        </w:rPr>
        <w:t>refore, the</w:t>
      </w:r>
      <w:r w:rsidRPr="00E54204">
        <w:rPr>
          <w:szCs w:val="20"/>
        </w:rPr>
        <w:t xml:space="preserve"> body of</w:t>
      </w:r>
      <w:r w:rsidR="00354A8B" w:rsidRPr="00E54204">
        <w:rPr>
          <w:szCs w:val="20"/>
        </w:rPr>
        <w:t xml:space="preserve"> Greek writings and Josephus should</w:t>
      </w:r>
      <w:r w:rsidRPr="00E54204">
        <w:rPr>
          <w:szCs w:val="20"/>
        </w:rPr>
        <w:t xml:space="preserve"> be </w:t>
      </w:r>
      <w:r w:rsidR="00354A8B" w:rsidRPr="00E54204">
        <w:rPr>
          <w:szCs w:val="20"/>
        </w:rPr>
        <w:t>analyzed and explored more substantially.  At this time, I am unable to sufficiently elaborate on these last parts of the Origins chapter.</w:t>
      </w:r>
      <w:r w:rsidRPr="00E54204">
        <w:rPr>
          <w:szCs w:val="20"/>
        </w:rPr>
        <w:t xml:space="preserve"> </w:t>
      </w:r>
      <w:r w:rsidR="007F63ED" w:rsidRPr="00E54204">
        <w:rPr>
          <w:szCs w:val="20"/>
        </w:rPr>
        <w:t xml:space="preserve"> </w:t>
      </w:r>
    </w:p>
    <w:p w14:paraId="4FCB974F" w14:textId="77777777" w:rsidR="007F63ED" w:rsidRPr="00E54204" w:rsidRDefault="00893E53" w:rsidP="007F63ED">
      <w:pPr>
        <w:spacing w:after="160"/>
        <w:rPr>
          <w:szCs w:val="20"/>
        </w:rPr>
      </w:pPr>
      <w:r w:rsidRPr="00E54204">
        <w:rPr>
          <w:szCs w:val="20"/>
        </w:rPr>
        <w:t>C.</w:t>
      </w:r>
      <w:r w:rsidRPr="00E54204">
        <w:rPr>
          <w:szCs w:val="20"/>
        </w:rPr>
        <w:tab/>
      </w:r>
      <w:r w:rsidR="007F63ED" w:rsidRPr="00E54204">
        <w:rPr>
          <w:i/>
          <w:szCs w:val="20"/>
        </w:rPr>
        <w:t>Categories:</w:t>
      </w:r>
    </w:p>
    <w:p w14:paraId="5078A157" w14:textId="77777777" w:rsidR="007F63ED" w:rsidRPr="00E54204" w:rsidRDefault="007F63ED" w:rsidP="007F63ED">
      <w:pPr>
        <w:spacing w:after="160"/>
        <w:rPr>
          <w:szCs w:val="20"/>
        </w:rPr>
      </w:pPr>
      <w:r w:rsidRPr="00E54204">
        <w:rPr>
          <w:szCs w:val="20"/>
        </w:rPr>
        <w:tab/>
        <w:t xml:space="preserve">This chapter lays out about ten interpretive, didactic, and homiletical stories, each situated within a specific category.  I did not expound on all the stories contained within the Babylonian corpus, about sixty cases (not including repeats), as that would require more time than currently available.  I preface my analysis with a short introduction into the world of the Talmud and </w:t>
      </w:r>
      <w:r w:rsidRPr="00E54204">
        <w:rPr>
          <w:i/>
          <w:szCs w:val="20"/>
        </w:rPr>
        <w:t>Haggadah</w:t>
      </w:r>
      <w:r w:rsidRPr="00E54204">
        <w:rPr>
          <w:szCs w:val="20"/>
        </w:rPr>
        <w:t xml:space="preserve"> as important background information for the chapter.  The categories are: announcing </w:t>
      </w:r>
      <w:r w:rsidR="004006AF" w:rsidRPr="00E54204">
        <w:rPr>
          <w:szCs w:val="20"/>
        </w:rPr>
        <w:t xml:space="preserve">someone’s </w:t>
      </w:r>
      <w:r w:rsidRPr="00E54204">
        <w:rPr>
          <w:szCs w:val="20"/>
        </w:rPr>
        <w:t>entry into</w:t>
      </w:r>
      <w:r w:rsidR="004006AF" w:rsidRPr="00E54204">
        <w:rPr>
          <w:szCs w:val="20"/>
        </w:rPr>
        <w:t xml:space="preserve"> “the world to come”, praise towards individuals, words of rebuke</w:t>
      </w:r>
      <w:r w:rsidRPr="00E54204">
        <w:rPr>
          <w:szCs w:val="20"/>
        </w:rPr>
        <w:t xml:space="preserve">, and matters pertaining to </w:t>
      </w:r>
      <w:r w:rsidR="00EF69C7" w:rsidRPr="00E54204">
        <w:rPr>
          <w:i/>
          <w:szCs w:val="20"/>
        </w:rPr>
        <w:t>Halac</w:t>
      </w:r>
      <w:r w:rsidRPr="00E54204">
        <w:rPr>
          <w:i/>
          <w:szCs w:val="20"/>
        </w:rPr>
        <w:t>ha</w:t>
      </w:r>
      <w:r w:rsidRPr="00E54204">
        <w:rPr>
          <w:szCs w:val="20"/>
        </w:rPr>
        <w:t xml:space="preserve"> (law).  I have further suggested that a group of stories fall in neither of the aforementioned categories.  I designated this additional category “miscellaneous.”  The category of the “world to come” recounts the martyrdom story of the second century sage, Rabbi Akiva; a highly-didactic account.  I then comment on Rabban Gamaliel</w:t>
      </w:r>
      <w:r w:rsidR="000E10E0" w:rsidRPr="00E54204">
        <w:rPr>
          <w:szCs w:val="20"/>
        </w:rPr>
        <w:t>’s</w:t>
      </w:r>
      <w:r w:rsidRPr="00E54204">
        <w:rPr>
          <w:szCs w:val="20"/>
        </w:rPr>
        <w:t xml:space="preserve"> close encounter with martyrdom.</w:t>
      </w:r>
      <w:r w:rsidR="000E10E0" w:rsidRPr="00E54204">
        <w:rPr>
          <w:szCs w:val="20"/>
          <w:vertAlign w:val="superscript"/>
        </w:rPr>
        <w:t xml:space="preserve"> </w:t>
      </w:r>
      <w:r w:rsidR="000E10E0" w:rsidRPr="00E54204">
        <w:rPr>
          <w:szCs w:val="20"/>
          <w:vertAlign w:val="superscript"/>
        </w:rPr>
        <w:footnoteReference w:id="17"/>
      </w:r>
      <w:r w:rsidRPr="00E54204">
        <w:rPr>
          <w:szCs w:val="20"/>
        </w:rPr>
        <w:t xml:space="preserve">  The Roman officer who spared the sages’ life acquired life in the “world to come;” this was publicly announced the by the </w:t>
      </w:r>
      <w:r w:rsidRPr="00E54204">
        <w:rPr>
          <w:i/>
          <w:szCs w:val="20"/>
        </w:rPr>
        <w:t>bat kol</w:t>
      </w:r>
      <w:r w:rsidRPr="00E54204">
        <w:rPr>
          <w:szCs w:val="20"/>
        </w:rPr>
        <w:t xml:space="preserve">.  </w:t>
      </w:r>
    </w:p>
    <w:p w14:paraId="3ED2792C" w14:textId="77777777" w:rsidR="007F63ED" w:rsidRPr="00E54204" w:rsidRDefault="007F63ED" w:rsidP="007F63ED">
      <w:pPr>
        <w:spacing w:after="160"/>
        <w:ind w:firstLine="720"/>
        <w:rPr>
          <w:szCs w:val="20"/>
        </w:rPr>
      </w:pPr>
      <w:r w:rsidRPr="00E54204">
        <w:rPr>
          <w:szCs w:val="20"/>
        </w:rPr>
        <w:t xml:space="preserve">I subsequently proceed to draw the reader’s attention to individuals signaled out by the </w:t>
      </w:r>
      <w:r w:rsidRPr="00E54204">
        <w:rPr>
          <w:i/>
          <w:szCs w:val="20"/>
        </w:rPr>
        <w:t>bat kol</w:t>
      </w:r>
      <w:r w:rsidRPr="00E54204">
        <w:rPr>
          <w:szCs w:val="20"/>
        </w:rPr>
        <w:t xml:space="preserve">, these include Hillel the Elder, Samuel the Small.  The chapter on </w:t>
      </w:r>
      <w:r w:rsidR="00EF69C7" w:rsidRPr="00E54204">
        <w:rPr>
          <w:i/>
          <w:szCs w:val="20"/>
        </w:rPr>
        <w:t>Halac</w:t>
      </w:r>
      <w:r w:rsidRPr="00E54204">
        <w:rPr>
          <w:i/>
          <w:szCs w:val="20"/>
        </w:rPr>
        <w:t xml:space="preserve">ha </w:t>
      </w:r>
      <w:r w:rsidRPr="00E54204">
        <w:rPr>
          <w:szCs w:val="20"/>
        </w:rPr>
        <w:t xml:space="preserve">provides an analysis of the well-known legal deadlock between the two, first century </w:t>
      </w:r>
      <w:r w:rsidRPr="00E54204">
        <w:rPr>
          <w:szCs w:val="20"/>
        </w:rPr>
        <w:lastRenderedPageBreak/>
        <w:t xml:space="preserve">schools of Shammai and Hillel.  Also included in this chapter is the showdown between R. Eliezer ben Hyrcanus and the rest of sages, in what is known as the incident of the oven of “Aknai.”  I draw from Jeffrey Rubenstein’s analysis of this story in his book </w:t>
      </w:r>
      <w:r w:rsidRPr="00E54204">
        <w:rPr>
          <w:i/>
          <w:szCs w:val="20"/>
        </w:rPr>
        <w:t>Talmudic Stories</w:t>
      </w:r>
      <w:r w:rsidRPr="00E54204">
        <w:rPr>
          <w:szCs w:val="20"/>
        </w:rPr>
        <w:t>, in which he insightfully interprets the incident within its legal context.</w:t>
      </w:r>
      <w:r w:rsidRPr="00E54204">
        <w:rPr>
          <w:szCs w:val="20"/>
          <w:vertAlign w:val="superscript"/>
        </w:rPr>
        <w:footnoteReference w:id="18"/>
      </w:r>
      <w:r w:rsidRPr="00E54204">
        <w:rPr>
          <w:szCs w:val="20"/>
        </w:rPr>
        <w:t xml:space="preserve">  The miscellaneous section overviews stories such as the one purporting that a </w:t>
      </w:r>
      <w:r w:rsidRPr="00E54204">
        <w:rPr>
          <w:i/>
          <w:szCs w:val="20"/>
        </w:rPr>
        <w:t xml:space="preserve">bat kol </w:t>
      </w:r>
      <w:r w:rsidRPr="00E54204">
        <w:rPr>
          <w:szCs w:val="20"/>
        </w:rPr>
        <w:t>went forth from the Jerusalem Temple announcing to Hasmonean ruler, John Hyrcanus, that his sons h</w:t>
      </w:r>
      <w:r w:rsidR="00C07718" w:rsidRPr="00E54204">
        <w:rPr>
          <w:szCs w:val="20"/>
        </w:rPr>
        <w:t>ad won a military victory</w:t>
      </w:r>
      <w:r w:rsidRPr="00E54204">
        <w:rPr>
          <w:szCs w:val="20"/>
        </w:rPr>
        <w:t xml:space="preserve">.  </w:t>
      </w:r>
    </w:p>
    <w:p w14:paraId="2B7F5C69" w14:textId="77777777" w:rsidR="007F63ED" w:rsidRPr="00E54204" w:rsidRDefault="007F63ED" w:rsidP="007F63ED">
      <w:pPr>
        <w:spacing w:after="160"/>
        <w:ind w:firstLine="720"/>
        <w:rPr>
          <w:szCs w:val="20"/>
        </w:rPr>
      </w:pPr>
      <w:r w:rsidRPr="00E54204">
        <w:rPr>
          <w:szCs w:val="20"/>
        </w:rPr>
        <w:t xml:space="preserve">Each story includes a brief analysis, as well as references to parallel or supplementary information.  These groupings have been previously noted and used by other scholars of rabbinics and </w:t>
      </w:r>
      <w:r w:rsidRPr="00E54204">
        <w:rPr>
          <w:i/>
          <w:szCs w:val="20"/>
        </w:rPr>
        <w:t>Haggadah</w:t>
      </w:r>
      <w:r w:rsidRPr="00E54204">
        <w:rPr>
          <w:szCs w:val="20"/>
        </w:rPr>
        <w:t xml:space="preserve">.  Similarly, I affirm the use of these labels in interpreting the role of the </w:t>
      </w:r>
      <w:r w:rsidRPr="00E54204">
        <w:rPr>
          <w:i/>
          <w:szCs w:val="20"/>
        </w:rPr>
        <w:t>bat kol</w:t>
      </w:r>
      <w:r w:rsidRPr="00E54204">
        <w:rPr>
          <w:szCs w:val="20"/>
        </w:rPr>
        <w:t xml:space="preserve"> in these stories while providing my own commentary and examples.  In my estimation, the most marked categories are announcing someone’s entry into the “world to come” and praising individuals for their piety and or rebuking them for their wickedness.  Each story seems to contain a moral of sorts applicable to that time period, including those retrojected on to Biblical characters.</w:t>
      </w:r>
    </w:p>
    <w:p w14:paraId="5008F04D" w14:textId="77777777" w:rsidR="007F63ED" w:rsidRPr="00E54204" w:rsidRDefault="00C3214C" w:rsidP="00C3214C">
      <w:pPr>
        <w:spacing w:after="160"/>
        <w:ind w:firstLine="720"/>
        <w:rPr>
          <w:szCs w:val="20"/>
        </w:rPr>
      </w:pPr>
      <w:r w:rsidRPr="00E54204">
        <w:rPr>
          <w:szCs w:val="20"/>
        </w:rPr>
        <w:t>The fi</w:t>
      </w:r>
      <w:r w:rsidR="00C65802" w:rsidRPr="00E54204">
        <w:rPr>
          <w:szCs w:val="20"/>
        </w:rPr>
        <w:t>nal chapter</w:t>
      </w:r>
      <w:r w:rsidRPr="00E54204">
        <w:rPr>
          <w:szCs w:val="20"/>
        </w:rPr>
        <w:t xml:space="preserve"> will be a recapitulation of the findings from the chapters along with additional commentary</w:t>
      </w:r>
      <w:r w:rsidR="0023212A" w:rsidRPr="00E54204">
        <w:rPr>
          <w:szCs w:val="20"/>
        </w:rPr>
        <w:t xml:space="preserve">.  Furthermore, I identify several areas left unaddressed that draw my attention </w:t>
      </w:r>
      <w:r w:rsidRPr="00E54204">
        <w:rPr>
          <w:szCs w:val="20"/>
        </w:rPr>
        <w:t>for</w:t>
      </w:r>
      <w:r w:rsidR="0023212A" w:rsidRPr="00E54204">
        <w:rPr>
          <w:szCs w:val="20"/>
        </w:rPr>
        <w:t xml:space="preserve"> potential future work</w:t>
      </w:r>
      <w:r w:rsidRPr="00E54204">
        <w:rPr>
          <w:szCs w:val="20"/>
        </w:rPr>
        <w:t>.</w:t>
      </w:r>
      <w:r w:rsidR="00C65802" w:rsidRPr="00E54204">
        <w:rPr>
          <w:szCs w:val="20"/>
        </w:rPr>
        <w:t xml:space="preserve">  </w:t>
      </w:r>
      <w:r w:rsidRPr="00E54204">
        <w:rPr>
          <w:szCs w:val="20"/>
        </w:rPr>
        <w:t>A</w:t>
      </w:r>
      <w:r w:rsidR="007F63ED" w:rsidRPr="00E54204">
        <w:rPr>
          <w:szCs w:val="20"/>
        </w:rPr>
        <w:t xml:space="preserve">s a personal aside, my introduction to the </w:t>
      </w:r>
      <w:r w:rsidR="007F63ED" w:rsidRPr="00E54204">
        <w:rPr>
          <w:i/>
          <w:szCs w:val="20"/>
        </w:rPr>
        <w:t>bat kol</w:t>
      </w:r>
      <w:r w:rsidR="007F63ED" w:rsidRPr="00E54204">
        <w:rPr>
          <w:szCs w:val="20"/>
        </w:rPr>
        <w:t xml:space="preserve"> was while reading Daniel Boyarin’s book </w:t>
      </w:r>
      <w:r w:rsidR="007F63ED" w:rsidRPr="00E54204">
        <w:rPr>
          <w:i/>
          <w:szCs w:val="20"/>
        </w:rPr>
        <w:t>Dying for God: Martyrdom and the Making of Christianity and Judaism</w:t>
      </w:r>
      <w:r w:rsidR="007F63ED" w:rsidRPr="00E54204">
        <w:rPr>
          <w:szCs w:val="20"/>
        </w:rPr>
        <w:t xml:space="preserve"> where Boyarin makes some intriguing perspectives </w:t>
      </w:r>
      <w:r w:rsidR="007F63ED" w:rsidRPr="00E54204">
        <w:rPr>
          <w:szCs w:val="20"/>
        </w:rPr>
        <w:lastRenderedPageBreak/>
        <w:t xml:space="preserve">on the nature and development of martyrdom among Jews and early Christians in antiquity.  Boyarin includes the incident of “Aknai” in which the </w:t>
      </w:r>
      <w:r w:rsidR="007F63ED" w:rsidRPr="00E54204">
        <w:rPr>
          <w:i/>
          <w:szCs w:val="20"/>
        </w:rPr>
        <w:t>bat kol</w:t>
      </w:r>
      <w:r w:rsidR="007F63ED" w:rsidRPr="00E54204">
        <w:rPr>
          <w:szCs w:val="20"/>
        </w:rPr>
        <w:t xml:space="preserve"> (or “voice from heaven”) allegedly intervened in an intense legal debate only to be silenced.  Such audacity seemed remarkable!  Consequently</w:t>
      </w:r>
      <w:r w:rsidR="00BB10EC" w:rsidRPr="00E54204">
        <w:rPr>
          <w:szCs w:val="20"/>
        </w:rPr>
        <w:t>,</w:t>
      </w:r>
      <w:r w:rsidR="007F63ED" w:rsidRPr="00E54204">
        <w:rPr>
          <w:szCs w:val="20"/>
        </w:rPr>
        <w:t xml:space="preserve"> I began to develop an appreciation for Jewish stories, their language, depth, and subtleties.  It is my hope that through this preliminary study, the reader might likewise become engaged with the subject of Jewish stories.  The historical setting of the sages is one of life, loss, law, and lore; it is key for elucidating the tales of the </w:t>
      </w:r>
      <w:r w:rsidR="007F63ED" w:rsidRPr="00E54204">
        <w:rPr>
          <w:i/>
          <w:szCs w:val="20"/>
        </w:rPr>
        <w:t>bat kol</w:t>
      </w:r>
      <w:r w:rsidR="007F63ED" w:rsidRPr="00E54204">
        <w:rPr>
          <w:szCs w:val="20"/>
        </w:rPr>
        <w:t>.  After all, it is through their voice that we know of the “daughter of a voice.”</w:t>
      </w:r>
    </w:p>
    <w:p w14:paraId="01F790BE" w14:textId="77777777" w:rsidR="00AA1903" w:rsidRPr="00E54204" w:rsidRDefault="00AA1903" w:rsidP="00AA1903">
      <w:pPr>
        <w:spacing w:after="160"/>
        <w:rPr>
          <w:szCs w:val="20"/>
        </w:rPr>
      </w:pPr>
    </w:p>
    <w:p w14:paraId="1178898A" w14:textId="77777777" w:rsidR="00AA1903" w:rsidRPr="00E54204" w:rsidRDefault="00AA1903" w:rsidP="00AA1903">
      <w:pPr>
        <w:spacing w:after="160"/>
        <w:rPr>
          <w:szCs w:val="20"/>
        </w:rPr>
      </w:pPr>
    </w:p>
    <w:p w14:paraId="584135AC" w14:textId="77777777" w:rsidR="00AA1903" w:rsidRPr="00E54204" w:rsidRDefault="00AA1903" w:rsidP="00AA1903">
      <w:pPr>
        <w:spacing w:after="160"/>
        <w:rPr>
          <w:szCs w:val="20"/>
        </w:rPr>
      </w:pPr>
    </w:p>
    <w:p w14:paraId="58B4DD5A" w14:textId="77777777" w:rsidR="00AA1903" w:rsidRPr="00E54204" w:rsidRDefault="00AA1903" w:rsidP="00AA1903">
      <w:pPr>
        <w:spacing w:after="160"/>
        <w:rPr>
          <w:szCs w:val="20"/>
        </w:rPr>
      </w:pPr>
    </w:p>
    <w:p w14:paraId="2D9CA5AE" w14:textId="77777777" w:rsidR="00AA1903" w:rsidRPr="00E54204" w:rsidRDefault="00AA1903" w:rsidP="00AA1903">
      <w:pPr>
        <w:spacing w:after="160"/>
        <w:rPr>
          <w:szCs w:val="20"/>
        </w:rPr>
      </w:pPr>
    </w:p>
    <w:p w14:paraId="6D8CD1D6" w14:textId="77777777" w:rsidR="00AA1903" w:rsidRPr="00E54204" w:rsidRDefault="00AA1903" w:rsidP="00AA1903">
      <w:pPr>
        <w:spacing w:after="160"/>
        <w:rPr>
          <w:szCs w:val="20"/>
        </w:rPr>
      </w:pPr>
    </w:p>
    <w:p w14:paraId="4E5ADF79" w14:textId="77777777" w:rsidR="00AA1903" w:rsidRPr="00E54204" w:rsidRDefault="00AA1903" w:rsidP="00AA1903">
      <w:pPr>
        <w:spacing w:after="160"/>
        <w:rPr>
          <w:szCs w:val="20"/>
        </w:rPr>
      </w:pPr>
    </w:p>
    <w:p w14:paraId="0F3C11FB" w14:textId="77777777" w:rsidR="00BB10EC" w:rsidRPr="00E54204" w:rsidRDefault="00BB10EC" w:rsidP="00BB10EC">
      <w:pPr>
        <w:spacing w:after="160"/>
        <w:rPr>
          <w:szCs w:val="20"/>
        </w:rPr>
      </w:pPr>
    </w:p>
    <w:p w14:paraId="0E8A88AD" w14:textId="77777777" w:rsidR="00A51EF5" w:rsidRPr="00E54204" w:rsidRDefault="00A51EF5" w:rsidP="00BB10EC">
      <w:pPr>
        <w:spacing w:after="160"/>
        <w:jc w:val="center"/>
        <w:rPr>
          <w:rFonts w:cs="Times New Roman"/>
          <w:b/>
          <w:szCs w:val="20"/>
        </w:rPr>
      </w:pPr>
    </w:p>
    <w:p w14:paraId="73AA1B0D" w14:textId="77777777" w:rsidR="00A51EF5" w:rsidRPr="00E54204" w:rsidRDefault="00A51EF5" w:rsidP="00BB10EC">
      <w:pPr>
        <w:spacing w:after="160"/>
        <w:jc w:val="center"/>
        <w:rPr>
          <w:rFonts w:cs="Times New Roman"/>
          <w:b/>
          <w:szCs w:val="20"/>
        </w:rPr>
      </w:pPr>
    </w:p>
    <w:p w14:paraId="5FDCC97E" w14:textId="77777777" w:rsidR="00A51EF5" w:rsidRPr="00E54204" w:rsidRDefault="00A51EF5" w:rsidP="00BB10EC">
      <w:pPr>
        <w:spacing w:after="160"/>
        <w:jc w:val="center"/>
        <w:rPr>
          <w:rFonts w:cs="Times New Roman"/>
          <w:b/>
          <w:szCs w:val="20"/>
        </w:rPr>
      </w:pPr>
    </w:p>
    <w:p w14:paraId="342AC5B5" w14:textId="77777777" w:rsidR="00200ED9" w:rsidRPr="00E54204" w:rsidRDefault="00A123D8" w:rsidP="00BB10EC">
      <w:pPr>
        <w:spacing w:after="160"/>
        <w:jc w:val="center"/>
        <w:rPr>
          <w:rFonts w:cs="Times New Roman"/>
          <w:b/>
          <w:szCs w:val="20"/>
        </w:rPr>
      </w:pPr>
      <w:r w:rsidRPr="00E54204">
        <w:rPr>
          <w:rFonts w:cs="Times New Roman"/>
          <w:b/>
          <w:szCs w:val="20"/>
        </w:rPr>
        <w:lastRenderedPageBreak/>
        <w:t>L</w:t>
      </w:r>
      <w:r w:rsidR="008C6F3F" w:rsidRPr="00E54204">
        <w:rPr>
          <w:rFonts w:cs="Times New Roman"/>
          <w:b/>
          <w:szCs w:val="20"/>
        </w:rPr>
        <w:t>ITERATURE REVIEW</w:t>
      </w:r>
    </w:p>
    <w:p w14:paraId="67EF8FE9" w14:textId="77777777" w:rsidR="00AA1903" w:rsidRPr="00E54204" w:rsidRDefault="008E6448" w:rsidP="00AA1903">
      <w:pPr>
        <w:spacing w:after="160"/>
        <w:rPr>
          <w:rFonts w:cs="Times New Roman"/>
          <w:szCs w:val="20"/>
        </w:rPr>
      </w:pPr>
      <w:r w:rsidRPr="00E54204">
        <w:rPr>
          <w:rFonts w:cs="Times New Roman"/>
          <w:b/>
          <w:szCs w:val="20"/>
        </w:rPr>
        <w:t>I.</w:t>
      </w:r>
      <w:r w:rsidRPr="00E54204">
        <w:rPr>
          <w:rFonts w:cs="Times New Roman"/>
          <w:b/>
          <w:szCs w:val="20"/>
        </w:rPr>
        <w:tab/>
      </w:r>
      <w:r w:rsidR="00AA1903" w:rsidRPr="00E54204">
        <w:rPr>
          <w:rFonts w:cs="Times New Roman"/>
          <w:b/>
          <w:szCs w:val="20"/>
        </w:rPr>
        <w:t>Introduction</w:t>
      </w:r>
      <w:r w:rsidR="00AA1903" w:rsidRPr="00E54204">
        <w:rPr>
          <w:rFonts w:cs="Times New Roman"/>
          <w:szCs w:val="20"/>
        </w:rPr>
        <w:tab/>
      </w:r>
    </w:p>
    <w:p w14:paraId="6C70D1B5" w14:textId="77777777" w:rsidR="00AA1903" w:rsidRPr="00E54204" w:rsidRDefault="0084007E" w:rsidP="00FF63E6">
      <w:pPr>
        <w:spacing w:after="160"/>
        <w:ind w:firstLine="720"/>
        <w:rPr>
          <w:rFonts w:cs="Times New Roman"/>
          <w:szCs w:val="20"/>
        </w:rPr>
      </w:pPr>
      <w:r w:rsidRPr="00E54204">
        <w:rPr>
          <w:rFonts w:cs="Times New Roman"/>
          <w:szCs w:val="20"/>
        </w:rPr>
        <w:t>It is fitting to</w:t>
      </w:r>
      <w:r w:rsidR="00AA1903" w:rsidRPr="00E54204">
        <w:rPr>
          <w:rFonts w:cs="Times New Roman"/>
          <w:szCs w:val="20"/>
        </w:rPr>
        <w:t xml:space="preserve"> present a literature review of some of the most pertinent studies on the </w:t>
      </w:r>
      <w:r w:rsidR="00AA1903" w:rsidRPr="00E54204">
        <w:rPr>
          <w:rFonts w:cs="Times New Roman"/>
          <w:i/>
          <w:szCs w:val="20"/>
        </w:rPr>
        <w:t>bat kol</w:t>
      </w:r>
      <w:r w:rsidR="00AA1903" w:rsidRPr="00E54204">
        <w:rPr>
          <w:rFonts w:cs="Times New Roman"/>
          <w:szCs w:val="20"/>
        </w:rPr>
        <w:t xml:space="preserve"> with a special focus on its function.  </w:t>
      </w:r>
      <w:r w:rsidRPr="00E54204">
        <w:rPr>
          <w:rFonts w:cs="Times New Roman"/>
          <w:szCs w:val="20"/>
        </w:rPr>
        <w:t xml:space="preserve">Since the rabbis themselves left no explanation for the meaning of this enigmatic term, it is not surprising that scholars have not been unanimous in identifying the function and or purpose of the </w:t>
      </w:r>
      <w:r w:rsidRPr="00E54204">
        <w:rPr>
          <w:rFonts w:cs="Times New Roman"/>
          <w:i/>
          <w:szCs w:val="20"/>
        </w:rPr>
        <w:t>bat kol</w:t>
      </w:r>
      <w:r w:rsidRPr="00E54204">
        <w:rPr>
          <w:rFonts w:cs="Times New Roman"/>
          <w:szCs w:val="20"/>
        </w:rPr>
        <w:t xml:space="preserve">.  </w:t>
      </w:r>
      <w:r w:rsidR="00AA1903" w:rsidRPr="00E54204">
        <w:rPr>
          <w:rFonts w:cs="Times New Roman"/>
          <w:szCs w:val="20"/>
        </w:rPr>
        <w:t>However, one over-arching view is that the “voice from heaven” was employed as a vehicle which delivered news of divine judgment, which in this way resembled the prophetic nature of the Biblical prophets.</w:t>
      </w:r>
      <w:r w:rsidRPr="00E54204">
        <w:rPr>
          <w:rFonts w:cs="Times New Roman"/>
          <w:szCs w:val="20"/>
        </w:rPr>
        <w:t xml:space="preserve">  Because of the fact that there are parallels to the </w:t>
      </w:r>
      <w:r w:rsidRPr="00E54204">
        <w:rPr>
          <w:rFonts w:cs="Times New Roman"/>
          <w:i/>
          <w:szCs w:val="20"/>
        </w:rPr>
        <w:t xml:space="preserve">bat kol </w:t>
      </w:r>
      <w:r w:rsidRPr="00E54204">
        <w:rPr>
          <w:rFonts w:cs="Times New Roman"/>
          <w:szCs w:val="20"/>
        </w:rPr>
        <w:t>found in early Christian writings</w:t>
      </w:r>
      <w:r w:rsidR="00406E76" w:rsidRPr="00E54204">
        <w:rPr>
          <w:rFonts w:cs="Times New Roman"/>
          <w:szCs w:val="20"/>
        </w:rPr>
        <w:t xml:space="preserve">, </w:t>
      </w:r>
      <w:r w:rsidR="00AA1903" w:rsidRPr="00E54204">
        <w:rPr>
          <w:rFonts w:cs="Times New Roman"/>
          <w:szCs w:val="20"/>
        </w:rPr>
        <w:t>Christian scholarship will als</w:t>
      </w:r>
      <w:r w:rsidR="00406E76" w:rsidRPr="00E54204">
        <w:rPr>
          <w:rFonts w:cs="Times New Roman"/>
          <w:szCs w:val="20"/>
        </w:rPr>
        <w:t>o comprise part of this review.</w:t>
      </w:r>
      <w:r w:rsidR="00406E76" w:rsidRPr="00E54204">
        <w:rPr>
          <w:rFonts w:cs="Times New Roman"/>
          <w:szCs w:val="20"/>
          <w:vertAlign w:val="superscript"/>
        </w:rPr>
        <w:footnoteReference w:id="19"/>
      </w:r>
    </w:p>
    <w:p w14:paraId="3F29F474" w14:textId="77777777" w:rsidR="00AA1903" w:rsidRPr="00E54204" w:rsidRDefault="00AA1903" w:rsidP="008948A5">
      <w:pPr>
        <w:spacing w:after="160"/>
        <w:ind w:firstLine="720"/>
        <w:rPr>
          <w:rFonts w:cs="Times New Roman"/>
          <w:szCs w:val="20"/>
        </w:rPr>
      </w:pPr>
      <w:r w:rsidRPr="00E54204">
        <w:rPr>
          <w:rFonts w:cs="Times New Roman"/>
          <w:szCs w:val="20"/>
        </w:rPr>
        <w:t>I have chosen to present the sources in chronological order of dates of publication, while highlighting their main contributions in terms of role.  This thesis should ultimately be viewed as a continuation of the prior research conducted in the general field of divine manifestations in Judaism of cla</w:t>
      </w:r>
      <w:r w:rsidR="00406E76" w:rsidRPr="00E54204">
        <w:rPr>
          <w:rFonts w:cs="Times New Roman"/>
          <w:szCs w:val="20"/>
        </w:rPr>
        <w:t xml:space="preserve">ssic-late antiquity.  I seek </w:t>
      </w:r>
      <w:r w:rsidRPr="00E54204">
        <w:rPr>
          <w:rFonts w:cs="Times New Roman"/>
          <w:szCs w:val="20"/>
        </w:rPr>
        <w:t>both</w:t>
      </w:r>
      <w:r w:rsidR="00406E76" w:rsidRPr="00E54204">
        <w:rPr>
          <w:rFonts w:cs="Times New Roman"/>
          <w:szCs w:val="20"/>
        </w:rPr>
        <w:t xml:space="preserve"> to</w:t>
      </w:r>
      <w:r w:rsidRPr="00E54204">
        <w:rPr>
          <w:rFonts w:cs="Times New Roman"/>
          <w:szCs w:val="20"/>
        </w:rPr>
        <w:t xml:space="preserve"> draw from and build on the work of previous scholars while positioning myself to offer potentially new perspective(s) on this intriguing portent, all within a social and historical framework.</w:t>
      </w:r>
      <w:r w:rsidR="00E21254" w:rsidRPr="00E54204">
        <w:rPr>
          <w:rFonts w:cs="Times New Roman"/>
          <w:szCs w:val="20"/>
        </w:rPr>
        <w:t xml:space="preserve">  In addition, I have sought to minimize repetition of data among the s</w:t>
      </w:r>
      <w:r w:rsidR="007449F9" w:rsidRPr="00E54204">
        <w:rPr>
          <w:rFonts w:cs="Times New Roman"/>
          <w:szCs w:val="20"/>
        </w:rPr>
        <w:t>ources and for that reason some sections may be shorter than others.  Additionally, insights unique to a scholar are also included</w:t>
      </w:r>
      <w:r w:rsidR="00C07718" w:rsidRPr="00E54204">
        <w:rPr>
          <w:rFonts w:cs="Times New Roman"/>
          <w:szCs w:val="20"/>
        </w:rPr>
        <w:t xml:space="preserve"> in this review.</w:t>
      </w:r>
    </w:p>
    <w:p w14:paraId="4793EEF7" w14:textId="77777777" w:rsidR="00BB10EC" w:rsidRPr="00E54204" w:rsidRDefault="00BB10EC" w:rsidP="00AA1903">
      <w:pPr>
        <w:spacing w:after="160"/>
        <w:rPr>
          <w:rFonts w:cs="Times New Roman"/>
          <w:b/>
          <w:i/>
          <w:szCs w:val="20"/>
        </w:rPr>
      </w:pPr>
    </w:p>
    <w:p w14:paraId="114357FE" w14:textId="77777777" w:rsidR="00AA1903" w:rsidRPr="00E54204" w:rsidRDefault="008E6448" w:rsidP="00AA1903">
      <w:pPr>
        <w:spacing w:after="160"/>
        <w:rPr>
          <w:rFonts w:cs="Times New Roman"/>
          <w:b/>
          <w:szCs w:val="20"/>
        </w:rPr>
      </w:pPr>
      <w:r w:rsidRPr="00E54204">
        <w:rPr>
          <w:rFonts w:cs="Times New Roman"/>
          <w:b/>
          <w:szCs w:val="20"/>
        </w:rPr>
        <w:lastRenderedPageBreak/>
        <w:t>II.</w:t>
      </w:r>
      <w:r w:rsidRPr="00E54204">
        <w:rPr>
          <w:rFonts w:cs="Times New Roman"/>
          <w:b/>
          <w:szCs w:val="20"/>
        </w:rPr>
        <w:tab/>
      </w:r>
      <w:r w:rsidR="00AA1903" w:rsidRPr="00E54204">
        <w:rPr>
          <w:rFonts w:cs="Times New Roman"/>
          <w:b/>
          <w:i/>
          <w:szCs w:val="20"/>
        </w:rPr>
        <w:t>Cyclopedia of Biblical Literature</w:t>
      </w:r>
      <w:r w:rsidR="00AA1903" w:rsidRPr="00E54204">
        <w:rPr>
          <w:rFonts w:cs="Times New Roman"/>
          <w:b/>
          <w:szCs w:val="20"/>
        </w:rPr>
        <w:t xml:space="preserve"> (article by John Nicholson</w:t>
      </w:r>
      <w:r w:rsidR="004A0DB5" w:rsidRPr="00E54204">
        <w:rPr>
          <w:rFonts w:cs="Times New Roman"/>
          <w:b/>
          <w:szCs w:val="20"/>
        </w:rPr>
        <w:t>,</w:t>
      </w:r>
      <w:r w:rsidR="005472B8" w:rsidRPr="00E54204">
        <w:rPr>
          <w:rFonts w:cs="Times New Roman"/>
          <w:b/>
          <w:szCs w:val="20"/>
        </w:rPr>
        <w:t xml:space="preserve"> 1858</w:t>
      </w:r>
      <w:r w:rsidR="00AA1903" w:rsidRPr="00E54204">
        <w:rPr>
          <w:rFonts w:cs="Times New Roman"/>
          <w:b/>
          <w:szCs w:val="20"/>
        </w:rPr>
        <w:t>)</w:t>
      </w:r>
    </w:p>
    <w:p w14:paraId="5F937214" w14:textId="77777777" w:rsidR="00AA1903" w:rsidRPr="00E54204" w:rsidRDefault="00AA1903" w:rsidP="008948A5">
      <w:pPr>
        <w:spacing w:after="160"/>
        <w:ind w:firstLine="720"/>
        <w:rPr>
          <w:rFonts w:cs="Times New Roman"/>
          <w:szCs w:val="20"/>
        </w:rPr>
      </w:pPr>
      <w:r w:rsidRPr="00E54204">
        <w:rPr>
          <w:rFonts w:cs="Times New Roman"/>
          <w:szCs w:val="20"/>
        </w:rPr>
        <w:t>A brief and yet substanti</w:t>
      </w:r>
      <w:r w:rsidR="00162CD7" w:rsidRPr="00E54204">
        <w:rPr>
          <w:rFonts w:cs="Times New Roman"/>
          <w:szCs w:val="20"/>
        </w:rPr>
        <w:t xml:space="preserve">al article was published by </w:t>
      </w:r>
      <w:r w:rsidRPr="00E54204">
        <w:rPr>
          <w:rFonts w:cs="Times New Roman"/>
          <w:szCs w:val="20"/>
        </w:rPr>
        <w:t xml:space="preserve">John Nicholson, appearing in the </w:t>
      </w:r>
      <w:r w:rsidRPr="00E54204">
        <w:rPr>
          <w:rFonts w:cs="Times New Roman"/>
          <w:i/>
          <w:szCs w:val="20"/>
        </w:rPr>
        <w:t>Cyclopedia of Biblical Literature</w:t>
      </w:r>
      <w:r w:rsidRPr="00E54204">
        <w:rPr>
          <w:rFonts w:cs="Times New Roman"/>
          <w:szCs w:val="20"/>
        </w:rPr>
        <w:t>, in the late-nineteenth century.</w:t>
      </w:r>
      <w:r w:rsidRPr="00E54204">
        <w:rPr>
          <w:rFonts w:cs="Times New Roman"/>
          <w:szCs w:val="20"/>
          <w:vertAlign w:val="superscript"/>
        </w:rPr>
        <w:footnoteReference w:id="20"/>
      </w:r>
      <w:r w:rsidRPr="00E54204">
        <w:rPr>
          <w:rFonts w:cs="Times New Roman"/>
          <w:szCs w:val="20"/>
        </w:rPr>
        <w:t xml:space="preserve">  He cites several Christian </w:t>
      </w:r>
      <w:r w:rsidRPr="00E54204">
        <w:rPr>
          <w:rFonts w:cs="Times New Roman"/>
          <w:i/>
          <w:szCs w:val="20"/>
        </w:rPr>
        <w:t>Hebraists</w:t>
      </w:r>
      <w:r w:rsidRPr="00E54204">
        <w:rPr>
          <w:rFonts w:cs="Times New Roman"/>
          <w:szCs w:val="20"/>
        </w:rPr>
        <w:t xml:space="preserve"> who wrote in Latin, German, and English.</w:t>
      </w:r>
      <w:r w:rsidRPr="00E54204">
        <w:rPr>
          <w:rFonts w:cs="Times New Roman"/>
          <w:szCs w:val="20"/>
          <w:vertAlign w:val="superscript"/>
        </w:rPr>
        <w:footnoteReference w:id="21"/>
      </w:r>
      <w:r w:rsidR="00162CD7" w:rsidRPr="00E54204">
        <w:rPr>
          <w:rFonts w:cs="Times New Roman"/>
          <w:szCs w:val="20"/>
        </w:rPr>
        <w:t xml:space="preserve">  </w:t>
      </w:r>
      <w:r w:rsidRPr="00E54204">
        <w:rPr>
          <w:rFonts w:cs="Times New Roman"/>
          <w:szCs w:val="20"/>
        </w:rPr>
        <w:t xml:space="preserve">Nicholson identifies the </w:t>
      </w:r>
      <w:r w:rsidRPr="00E54204">
        <w:rPr>
          <w:rFonts w:cs="Times New Roman"/>
          <w:i/>
          <w:szCs w:val="20"/>
        </w:rPr>
        <w:t>bat kol</w:t>
      </w:r>
      <w:r w:rsidRPr="00E54204">
        <w:rPr>
          <w:rFonts w:cs="Times New Roman"/>
          <w:szCs w:val="20"/>
        </w:rPr>
        <w:t xml:space="preserve"> as the fourth grade of revelation, noting that it was the quintessential form of prophecy during (and after) the period of the Second Temple.</w:t>
      </w:r>
      <w:r w:rsidRPr="00E54204">
        <w:rPr>
          <w:rFonts w:cs="Times New Roman"/>
          <w:szCs w:val="20"/>
          <w:vertAlign w:val="superscript"/>
        </w:rPr>
        <w:footnoteReference w:id="22"/>
      </w:r>
      <w:r w:rsidRPr="00E54204">
        <w:rPr>
          <w:rFonts w:cs="Times New Roman"/>
          <w:szCs w:val="20"/>
        </w:rPr>
        <w:t xml:space="preserve">  In addition, he alludes to a highly-debated aspect of the </w:t>
      </w:r>
      <w:r w:rsidRPr="00E54204">
        <w:rPr>
          <w:rFonts w:cs="Times New Roman"/>
          <w:i/>
          <w:szCs w:val="20"/>
        </w:rPr>
        <w:t>bat kol</w:t>
      </w:r>
      <w:r w:rsidRPr="00E54204">
        <w:rPr>
          <w:rFonts w:cs="Times New Roman"/>
          <w:szCs w:val="20"/>
        </w:rPr>
        <w:t xml:space="preserve">, which is whether or not individuals who claimed to hear a </w:t>
      </w:r>
      <w:r w:rsidRPr="00E54204">
        <w:rPr>
          <w:rFonts w:cs="Times New Roman"/>
          <w:i/>
          <w:szCs w:val="20"/>
        </w:rPr>
        <w:t xml:space="preserve">bat kol </w:t>
      </w:r>
      <w:r w:rsidRPr="00E54204">
        <w:rPr>
          <w:rFonts w:cs="Times New Roman"/>
          <w:szCs w:val="20"/>
        </w:rPr>
        <w:t>actually heard an audible voice (com</w:t>
      </w:r>
      <w:r w:rsidR="00406E76" w:rsidRPr="00E54204">
        <w:rPr>
          <w:rFonts w:cs="Times New Roman"/>
          <w:szCs w:val="20"/>
        </w:rPr>
        <w:t xml:space="preserve">munication) or a faint sound </w:t>
      </w:r>
      <w:r w:rsidRPr="00E54204">
        <w:rPr>
          <w:rFonts w:cs="Times New Roman"/>
          <w:szCs w:val="20"/>
        </w:rPr>
        <w:t xml:space="preserve">like that of an echo.  Some </w:t>
      </w:r>
      <w:r w:rsidR="007E741F" w:rsidRPr="00E54204">
        <w:rPr>
          <w:rFonts w:cs="Times New Roman"/>
          <w:szCs w:val="20"/>
        </w:rPr>
        <w:t xml:space="preserve">interpreters </w:t>
      </w:r>
      <w:r w:rsidRPr="00E54204">
        <w:rPr>
          <w:rFonts w:cs="Times New Roman"/>
          <w:szCs w:val="20"/>
        </w:rPr>
        <w:t>posit that it may have very well represented the inner-thoughts of individuals.</w:t>
      </w:r>
      <w:r w:rsidR="008F6080" w:rsidRPr="00E54204">
        <w:rPr>
          <w:rFonts w:cs="Times New Roman"/>
          <w:szCs w:val="20"/>
        </w:rPr>
        <w:t xml:space="preserve">  Nicholson does not state whether or not he considers the </w:t>
      </w:r>
      <w:r w:rsidR="008F6080" w:rsidRPr="00E54204">
        <w:rPr>
          <w:rFonts w:cs="Times New Roman"/>
          <w:i/>
          <w:szCs w:val="20"/>
        </w:rPr>
        <w:t xml:space="preserve">bat kol </w:t>
      </w:r>
      <w:r w:rsidR="008F6080" w:rsidRPr="00E54204">
        <w:rPr>
          <w:rFonts w:cs="Times New Roman"/>
          <w:szCs w:val="20"/>
        </w:rPr>
        <w:t xml:space="preserve">to be purely psychological. </w:t>
      </w:r>
      <w:r w:rsidRPr="00E54204">
        <w:rPr>
          <w:rFonts w:cs="Times New Roman"/>
          <w:szCs w:val="20"/>
        </w:rPr>
        <w:t xml:space="preserve">  Maimonides, for example, the great Medieval Jewish philosopher and legalist, was of such opinion.  He espoused that man’s vivid imagination led him to believe he heard something outside of himself.</w:t>
      </w:r>
      <w:r w:rsidRPr="00E54204">
        <w:rPr>
          <w:rFonts w:cs="Times New Roman"/>
          <w:szCs w:val="20"/>
          <w:vertAlign w:val="superscript"/>
        </w:rPr>
        <w:footnoteReference w:id="23"/>
      </w:r>
      <w:r w:rsidRPr="00E54204">
        <w:rPr>
          <w:rFonts w:cs="Times New Roman"/>
          <w:szCs w:val="20"/>
        </w:rPr>
        <w:t xml:space="preserve">  Also interesting, is the </w:t>
      </w:r>
      <w:r w:rsidRPr="00E54204">
        <w:rPr>
          <w:rFonts w:cs="Times New Roman"/>
          <w:szCs w:val="20"/>
        </w:rPr>
        <w:lastRenderedPageBreak/>
        <w:t>reference to Christian scholars, like John Lightfoot,</w:t>
      </w:r>
      <w:r w:rsidRPr="00E54204">
        <w:rPr>
          <w:rFonts w:cs="Times New Roman"/>
          <w:szCs w:val="20"/>
          <w:vertAlign w:val="superscript"/>
        </w:rPr>
        <w:footnoteReference w:id="24"/>
      </w:r>
      <w:r w:rsidRPr="00E54204">
        <w:rPr>
          <w:rFonts w:cs="Times New Roman"/>
          <w:szCs w:val="20"/>
        </w:rPr>
        <w:t xml:space="preserve"> who explained away the </w:t>
      </w:r>
      <w:r w:rsidRPr="00E54204">
        <w:rPr>
          <w:rFonts w:cs="Times New Roman"/>
          <w:i/>
          <w:szCs w:val="20"/>
        </w:rPr>
        <w:t>bat kol</w:t>
      </w:r>
      <w:r w:rsidRPr="00E54204">
        <w:rPr>
          <w:rFonts w:cs="Times New Roman"/>
          <w:szCs w:val="20"/>
        </w:rPr>
        <w:t xml:space="preserve"> of rabbinic texts as either “fables” or “devices of the devil,” perhaps an effort to protect the veracity of cognates in the Gospels?</w:t>
      </w:r>
      <w:r w:rsidRPr="00E54204">
        <w:rPr>
          <w:rFonts w:cs="Times New Roman"/>
          <w:szCs w:val="20"/>
          <w:vertAlign w:val="superscript"/>
        </w:rPr>
        <w:footnoteReference w:id="25"/>
      </w:r>
      <w:r w:rsidRPr="00E54204">
        <w:rPr>
          <w:rFonts w:cs="Times New Roman"/>
          <w:szCs w:val="20"/>
        </w:rPr>
        <w:t xml:space="preserve">  While Nicholson does not extensively explain what he considers to be the function of the </w:t>
      </w:r>
      <w:r w:rsidRPr="00E54204">
        <w:rPr>
          <w:rFonts w:cs="Times New Roman"/>
          <w:i/>
          <w:szCs w:val="20"/>
        </w:rPr>
        <w:t>bat kol</w:t>
      </w:r>
      <w:r w:rsidRPr="00E54204">
        <w:rPr>
          <w:rFonts w:cs="Times New Roman"/>
          <w:szCs w:val="20"/>
        </w:rPr>
        <w:t>, he does put forth the basic view that it was considered to be a lower grade of prophecy</w:t>
      </w:r>
      <w:r w:rsidRPr="00E54204">
        <w:rPr>
          <w:rFonts w:cs="Times New Roman"/>
          <w:szCs w:val="20"/>
          <w:vertAlign w:val="superscript"/>
        </w:rPr>
        <w:footnoteReference w:id="26"/>
      </w:r>
      <w:r w:rsidRPr="00E54204">
        <w:rPr>
          <w:rFonts w:cs="Times New Roman"/>
          <w:szCs w:val="20"/>
        </w:rPr>
        <w:t xml:space="preserve"> in th</w:t>
      </w:r>
      <w:r w:rsidR="00E3221B" w:rsidRPr="00E54204">
        <w:rPr>
          <w:rFonts w:cs="Times New Roman"/>
          <w:szCs w:val="20"/>
        </w:rPr>
        <w:t xml:space="preserve">e </w:t>
      </w:r>
      <w:r w:rsidR="00FA0655" w:rsidRPr="00E54204">
        <w:rPr>
          <w:rFonts w:cs="Times New Roman"/>
          <w:szCs w:val="20"/>
        </w:rPr>
        <w:t>rabbis</w:t>
      </w:r>
      <w:r w:rsidR="00E3221B" w:rsidRPr="00E54204">
        <w:rPr>
          <w:rFonts w:cs="Times New Roman"/>
          <w:szCs w:val="20"/>
        </w:rPr>
        <w:t>’ understanding</w:t>
      </w:r>
      <w:r w:rsidR="00FA0655" w:rsidRPr="00E54204">
        <w:rPr>
          <w:rFonts w:cs="Times New Roman"/>
          <w:szCs w:val="20"/>
        </w:rPr>
        <w:t>.</w:t>
      </w:r>
      <w:r w:rsidRPr="00E54204">
        <w:rPr>
          <w:rFonts w:cs="Times New Roman"/>
          <w:szCs w:val="20"/>
        </w:rPr>
        <w:t xml:space="preserve"> </w:t>
      </w:r>
    </w:p>
    <w:p w14:paraId="368C5C0F" w14:textId="77777777" w:rsidR="00AA1903" w:rsidRPr="00E54204" w:rsidRDefault="008E6448" w:rsidP="00AA1903">
      <w:pPr>
        <w:spacing w:after="160"/>
        <w:rPr>
          <w:rFonts w:cs="Times New Roman"/>
          <w:b/>
          <w:szCs w:val="20"/>
        </w:rPr>
      </w:pPr>
      <w:r w:rsidRPr="00E54204">
        <w:rPr>
          <w:rFonts w:cs="Times New Roman"/>
          <w:b/>
          <w:bCs/>
          <w:iCs/>
          <w:szCs w:val="20"/>
        </w:rPr>
        <w:t>III.</w:t>
      </w:r>
      <w:r w:rsidRPr="00E54204">
        <w:rPr>
          <w:rFonts w:cs="Times New Roman"/>
          <w:b/>
          <w:bCs/>
          <w:iCs/>
          <w:szCs w:val="20"/>
        </w:rPr>
        <w:tab/>
      </w:r>
      <w:r w:rsidR="0036720F" w:rsidRPr="00E54204">
        <w:rPr>
          <w:rFonts w:cs="Times New Roman"/>
          <w:b/>
          <w:bCs/>
          <w:iCs/>
          <w:szCs w:val="20"/>
        </w:rPr>
        <w:t>“Ancient Traditions of Supernatural Voices (Bath-Kol)”</w:t>
      </w:r>
      <w:r w:rsidR="004A0DB5" w:rsidRPr="00E54204">
        <w:rPr>
          <w:rFonts w:cs="Times New Roman"/>
          <w:b/>
          <w:szCs w:val="20"/>
        </w:rPr>
        <w:t xml:space="preserve"> </w:t>
      </w:r>
      <w:r w:rsidR="00C601CF" w:rsidRPr="00E54204">
        <w:rPr>
          <w:rFonts w:cs="Times New Roman"/>
          <w:b/>
          <w:szCs w:val="20"/>
        </w:rPr>
        <w:t xml:space="preserve">(article </w:t>
      </w:r>
      <w:r w:rsidR="004A0DB5" w:rsidRPr="00E54204">
        <w:rPr>
          <w:rFonts w:cs="Times New Roman"/>
          <w:b/>
          <w:szCs w:val="20"/>
        </w:rPr>
        <w:t xml:space="preserve">by </w:t>
      </w:r>
      <w:r w:rsidR="00AA1903" w:rsidRPr="00E54204">
        <w:rPr>
          <w:rFonts w:cs="Times New Roman"/>
          <w:b/>
          <w:szCs w:val="20"/>
        </w:rPr>
        <w:t>S. Louis</w:t>
      </w:r>
      <w:r w:rsidR="004A0DB5" w:rsidRPr="00E54204">
        <w:rPr>
          <w:rFonts w:cs="Times New Roman"/>
          <w:b/>
          <w:szCs w:val="20"/>
        </w:rPr>
        <w:t xml:space="preserve">, </w:t>
      </w:r>
      <w:r w:rsidR="0036720F" w:rsidRPr="00E54204">
        <w:rPr>
          <w:rFonts w:cs="Times New Roman"/>
          <w:b/>
          <w:szCs w:val="20"/>
        </w:rPr>
        <w:t>1893</w:t>
      </w:r>
      <w:r w:rsidR="00C601CF" w:rsidRPr="00E54204">
        <w:rPr>
          <w:rFonts w:cs="Times New Roman"/>
          <w:b/>
          <w:szCs w:val="20"/>
        </w:rPr>
        <w:t>)</w:t>
      </w:r>
    </w:p>
    <w:p w14:paraId="41B4696A" w14:textId="77777777" w:rsidR="00AA1903" w:rsidRPr="00E54204" w:rsidRDefault="00AA1903" w:rsidP="00AA1903">
      <w:pPr>
        <w:spacing w:after="160"/>
        <w:rPr>
          <w:rFonts w:cs="Times New Roman"/>
          <w:szCs w:val="20"/>
        </w:rPr>
      </w:pPr>
      <w:r w:rsidRPr="00E54204">
        <w:rPr>
          <w:rFonts w:cs="Times New Roman"/>
          <w:b/>
          <w:szCs w:val="20"/>
        </w:rPr>
        <w:tab/>
      </w:r>
      <w:r w:rsidRPr="00E54204">
        <w:rPr>
          <w:rFonts w:cs="Times New Roman"/>
          <w:szCs w:val="20"/>
        </w:rPr>
        <w:t>Another late 19</w:t>
      </w:r>
      <w:r w:rsidRPr="00E54204">
        <w:rPr>
          <w:rFonts w:cs="Times New Roman"/>
          <w:szCs w:val="20"/>
          <w:vertAlign w:val="superscript"/>
        </w:rPr>
        <w:t>th</w:t>
      </w:r>
      <w:r w:rsidRPr="00E54204">
        <w:rPr>
          <w:rFonts w:cs="Times New Roman"/>
          <w:szCs w:val="20"/>
        </w:rPr>
        <w:t xml:space="preserve"> century work was produced by S. Louis in the reference work, </w:t>
      </w:r>
      <w:r w:rsidRPr="00E54204">
        <w:rPr>
          <w:rFonts w:cs="Times New Roman"/>
          <w:i/>
          <w:szCs w:val="20"/>
        </w:rPr>
        <w:t>Transactions of the Society of Biblical Archaeology</w:t>
      </w:r>
      <w:r w:rsidRPr="00E54204">
        <w:rPr>
          <w:rFonts w:cs="Times New Roman"/>
          <w:szCs w:val="20"/>
        </w:rPr>
        <w:t>.</w:t>
      </w:r>
      <w:r w:rsidRPr="00E54204">
        <w:rPr>
          <w:rFonts w:cs="Times New Roman"/>
          <w:szCs w:val="20"/>
          <w:vertAlign w:val="superscript"/>
        </w:rPr>
        <w:footnoteReference w:id="27"/>
      </w:r>
      <w:r w:rsidRPr="00E54204">
        <w:rPr>
          <w:rFonts w:cs="Times New Roman"/>
          <w:szCs w:val="20"/>
        </w:rPr>
        <w:t xml:space="preserve">  His attempt to suggest various categories for the appearances of </w:t>
      </w:r>
      <w:r w:rsidRPr="00E54204">
        <w:rPr>
          <w:rFonts w:cs="Times New Roman"/>
          <w:i/>
          <w:szCs w:val="20"/>
        </w:rPr>
        <w:t>bat kol</w:t>
      </w:r>
      <w:r w:rsidRPr="00E54204">
        <w:rPr>
          <w:rFonts w:cs="Times New Roman"/>
          <w:szCs w:val="20"/>
        </w:rPr>
        <w:t xml:space="preserve"> within the Talmudic corpus seems unique to his work.</w:t>
      </w:r>
      <w:r w:rsidRPr="00E54204">
        <w:rPr>
          <w:rFonts w:cs="Times New Roman"/>
          <w:szCs w:val="20"/>
          <w:vertAlign w:val="superscript"/>
        </w:rPr>
        <w:footnoteReference w:id="28"/>
      </w:r>
      <w:r w:rsidRPr="00E54204">
        <w:rPr>
          <w:rFonts w:cs="Times New Roman"/>
          <w:szCs w:val="20"/>
        </w:rPr>
        <w:t xml:space="preserve">  Indeed, his article presents a model for the approach I have adopted in organizing and labeling my own data.  One of those functions (or categories) is the role of influencing </w:t>
      </w:r>
      <w:r w:rsidR="004B512C" w:rsidRPr="00E54204">
        <w:rPr>
          <w:rFonts w:cs="Times New Roman"/>
          <w:i/>
          <w:szCs w:val="20"/>
        </w:rPr>
        <w:t>Halac</w:t>
      </w:r>
      <w:r w:rsidRPr="00E54204">
        <w:rPr>
          <w:rFonts w:cs="Times New Roman"/>
          <w:i/>
          <w:szCs w:val="20"/>
        </w:rPr>
        <w:t>hic</w:t>
      </w:r>
      <w:r w:rsidRPr="00E54204">
        <w:rPr>
          <w:rFonts w:cs="Times New Roman"/>
          <w:szCs w:val="20"/>
        </w:rPr>
        <w:t xml:space="preserve"> (legal) issues.</w:t>
      </w:r>
      <w:r w:rsidRPr="00E54204">
        <w:rPr>
          <w:rFonts w:cs="Times New Roman"/>
          <w:szCs w:val="20"/>
          <w:vertAlign w:val="superscript"/>
        </w:rPr>
        <w:footnoteReference w:id="29"/>
      </w:r>
      <w:r w:rsidRPr="00E54204">
        <w:rPr>
          <w:rFonts w:cs="Times New Roman"/>
          <w:szCs w:val="20"/>
        </w:rPr>
        <w:t xml:space="preserve">  Some of his other categories include: priests receiving news of military </w:t>
      </w:r>
      <w:r w:rsidR="0052132B" w:rsidRPr="00E54204">
        <w:rPr>
          <w:rFonts w:cs="Times New Roman"/>
          <w:szCs w:val="20"/>
        </w:rPr>
        <w:t>victories while serving in the T</w:t>
      </w:r>
      <w:r w:rsidRPr="00E54204">
        <w:rPr>
          <w:rFonts w:cs="Times New Roman"/>
          <w:szCs w:val="20"/>
        </w:rPr>
        <w:t xml:space="preserve">emple, instances of </w:t>
      </w:r>
      <w:r w:rsidRPr="00E54204">
        <w:rPr>
          <w:rFonts w:cs="Times New Roman"/>
          <w:szCs w:val="20"/>
        </w:rPr>
        <w:lastRenderedPageBreak/>
        <w:t>commending individuals in moments of martyrdom (either before and or after their deaths), its use in propagating popular ideas, and its interact</w:t>
      </w:r>
      <w:r w:rsidR="00FA0655" w:rsidRPr="00E54204">
        <w:rPr>
          <w:rFonts w:cs="Times New Roman"/>
          <w:szCs w:val="20"/>
        </w:rPr>
        <w:t>ions with Biblical characters.</w:t>
      </w:r>
    </w:p>
    <w:p w14:paraId="413CE9AA" w14:textId="77777777" w:rsidR="00AA1903" w:rsidRPr="00E54204" w:rsidRDefault="00AA1903" w:rsidP="00C17BC3">
      <w:pPr>
        <w:spacing w:after="160"/>
        <w:ind w:firstLine="720"/>
        <w:rPr>
          <w:rFonts w:cs="Times New Roman"/>
          <w:szCs w:val="20"/>
        </w:rPr>
      </w:pPr>
      <w:r w:rsidRPr="00E54204">
        <w:rPr>
          <w:rFonts w:cs="Times New Roman"/>
          <w:szCs w:val="20"/>
        </w:rPr>
        <w:t xml:space="preserve">Unlike Greek oracles which were solicited, Louis notes that the </w:t>
      </w:r>
      <w:r w:rsidRPr="00E54204">
        <w:rPr>
          <w:rFonts w:cs="Times New Roman"/>
          <w:i/>
          <w:szCs w:val="20"/>
        </w:rPr>
        <w:t>bat kol</w:t>
      </w:r>
      <w:r w:rsidRPr="00E54204">
        <w:rPr>
          <w:rFonts w:cs="Times New Roman"/>
          <w:szCs w:val="20"/>
        </w:rPr>
        <w:t xml:space="preserve"> is steadfastly impromptu, that is it appears spontaneously,</w:t>
      </w:r>
      <w:r w:rsidRPr="00E54204">
        <w:rPr>
          <w:rFonts w:cs="Times New Roman"/>
          <w:szCs w:val="20"/>
          <w:vertAlign w:val="superscript"/>
        </w:rPr>
        <w:footnoteReference w:id="30"/>
      </w:r>
      <w:r w:rsidRPr="00E54204">
        <w:rPr>
          <w:rFonts w:cs="Times New Roman"/>
          <w:szCs w:val="20"/>
        </w:rPr>
        <w:t xml:space="preserve"> and in some cases in couples.</w:t>
      </w:r>
      <w:r w:rsidRPr="00E54204">
        <w:rPr>
          <w:rFonts w:cs="Times New Roman"/>
          <w:szCs w:val="20"/>
          <w:vertAlign w:val="superscript"/>
        </w:rPr>
        <w:footnoteReference w:id="31"/>
      </w:r>
      <w:r w:rsidRPr="00E54204">
        <w:rPr>
          <w:rFonts w:cs="Times New Roman"/>
          <w:szCs w:val="20"/>
        </w:rPr>
        <w:t xml:space="preserve">   Similarly to Maimonides, he infers that what is being attributed to the </w:t>
      </w:r>
      <w:r w:rsidRPr="00E54204">
        <w:rPr>
          <w:rFonts w:cs="Times New Roman"/>
          <w:i/>
          <w:szCs w:val="20"/>
        </w:rPr>
        <w:t>bat kol</w:t>
      </w:r>
      <w:r w:rsidRPr="00E54204">
        <w:rPr>
          <w:rFonts w:cs="Times New Roman"/>
          <w:szCs w:val="20"/>
        </w:rPr>
        <w:t xml:space="preserve"> should really be ascribed to the inner thoughts of the people.</w:t>
      </w:r>
      <w:r w:rsidRPr="00E54204">
        <w:rPr>
          <w:rFonts w:cs="Times New Roman"/>
          <w:szCs w:val="20"/>
          <w:vertAlign w:val="superscript"/>
        </w:rPr>
        <w:footnoteReference w:id="32"/>
      </w:r>
      <w:r w:rsidRPr="00E54204">
        <w:rPr>
          <w:rFonts w:cs="Times New Roman"/>
          <w:szCs w:val="20"/>
        </w:rPr>
        <w:t xml:space="preserve">  In identifying several purposes for the </w:t>
      </w:r>
      <w:r w:rsidRPr="00E54204">
        <w:rPr>
          <w:rFonts w:cs="Times New Roman"/>
          <w:i/>
          <w:szCs w:val="20"/>
        </w:rPr>
        <w:t>bat kol</w:t>
      </w:r>
      <w:r w:rsidR="00162CD7" w:rsidRPr="00E54204">
        <w:rPr>
          <w:rFonts w:cs="Times New Roman"/>
          <w:szCs w:val="20"/>
        </w:rPr>
        <w:t>,</w:t>
      </w:r>
      <w:r w:rsidRPr="00E54204">
        <w:rPr>
          <w:rFonts w:cs="Times New Roman"/>
          <w:szCs w:val="20"/>
        </w:rPr>
        <w:t xml:space="preserve"> Louis displays what I believe to be a well-rounded approach, which was noteworthy since at the time few Christian scholars devoted much research to traditional Jewish topics.  The purpose of the divine voice seems to vary from story to story, though co</w:t>
      </w:r>
      <w:r w:rsidR="000D5AFC" w:rsidRPr="00E54204">
        <w:rPr>
          <w:rFonts w:cs="Times New Roman"/>
          <w:szCs w:val="20"/>
        </w:rPr>
        <w:t>mmon motifs can be discerned</w:t>
      </w:r>
      <w:r w:rsidR="00FA0655" w:rsidRPr="00E54204">
        <w:rPr>
          <w:rFonts w:cs="Times New Roman"/>
          <w:szCs w:val="20"/>
        </w:rPr>
        <w:t>.</w:t>
      </w:r>
    </w:p>
    <w:p w14:paraId="58DCF6A6" w14:textId="77777777" w:rsidR="00AA1903" w:rsidRPr="00E54204" w:rsidRDefault="008E6448" w:rsidP="00AA1903">
      <w:pPr>
        <w:spacing w:after="160"/>
        <w:rPr>
          <w:rFonts w:cs="Times New Roman"/>
          <w:b/>
          <w:szCs w:val="20"/>
        </w:rPr>
      </w:pPr>
      <w:r w:rsidRPr="00E54204">
        <w:rPr>
          <w:rFonts w:cs="Times New Roman"/>
          <w:b/>
          <w:szCs w:val="20"/>
        </w:rPr>
        <w:t>IV.</w:t>
      </w:r>
      <w:r w:rsidRPr="00E54204">
        <w:rPr>
          <w:rFonts w:cs="Times New Roman"/>
          <w:b/>
          <w:szCs w:val="20"/>
        </w:rPr>
        <w:tab/>
      </w:r>
      <w:r w:rsidR="00AA1903" w:rsidRPr="00E54204">
        <w:rPr>
          <w:rFonts w:cs="Times New Roman"/>
          <w:b/>
          <w:i/>
          <w:szCs w:val="20"/>
        </w:rPr>
        <w:t>From Letter to Spirit</w:t>
      </w:r>
      <w:r w:rsidR="00AA1903" w:rsidRPr="00E54204">
        <w:rPr>
          <w:rFonts w:cs="Times New Roman"/>
          <w:b/>
          <w:szCs w:val="20"/>
        </w:rPr>
        <w:t xml:space="preserve"> by Edwin A. Abbott (1903)</w:t>
      </w:r>
    </w:p>
    <w:p w14:paraId="2FEF1A9E" w14:textId="77777777" w:rsidR="00AA1903" w:rsidRPr="00E54204" w:rsidRDefault="00AA1903" w:rsidP="00AA1903">
      <w:pPr>
        <w:spacing w:after="160"/>
        <w:rPr>
          <w:rFonts w:cs="Times New Roman"/>
          <w:szCs w:val="20"/>
        </w:rPr>
      </w:pPr>
      <w:r w:rsidRPr="00E54204">
        <w:rPr>
          <w:rFonts w:cs="Times New Roman"/>
          <w:b/>
          <w:szCs w:val="20"/>
        </w:rPr>
        <w:tab/>
      </w:r>
      <w:r w:rsidRPr="00E54204">
        <w:rPr>
          <w:rFonts w:cs="Times New Roman"/>
          <w:szCs w:val="20"/>
        </w:rPr>
        <w:t>Christian scholar Edwin A. Ab</w:t>
      </w:r>
      <w:r w:rsidR="00406E76" w:rsidRPr="00E54204">
        <w:rPr>
          <w:rFonts w:cs="Times New Roman"/>
          <w:szCs w:val="20"/>
        </w:rPr>
        <w:t>bott produced a formidable work</w:t>
      </w:r>
      <w:r w:rsidRPr="00E54204">
        <w:rPr>
          <w:rFonts w:cs="Times New Roman"/>
          <w:szCs w:val="20"/>
        </w:rPr>
        <w:t xml:space="preserve"> in which he employed a comparative approach between rabbinic writings and Christian texts on this sub</w:t>
      </w:r>
      <w:r w:rsidR="0044724E" w:rsidRPr="00E54204">
        <w:rPr>
          <w:rFonts w:cs="Times New Roman"/>
          <w:szCs w:val="20"/>
        </w:rPr>
        <w:t>ject.  He notes that</w:t>
      </w:r>
      <w:r w:rsidR="00BB7B37" w:rsidRPr="00E54204">
        <w:rPr>
          <w:rFonts w:cs="Times New Roman"/>
          <w:szCs w:val="20"/>
        </w:rPr>
        <w:t xml:space="preserve"> the phrase</w:t>
      </w:r>
      <w:r w:rsidRPr="00E54204">
        <w:rPr>
          <w:rFonts w:cs="Times New Roman"/>
          <w:szCs w:val="20"/>
        </w:rPr>
        <w:t xml:space="preserve"> </w:t>
      </w:r>
      <w:r w:rsidRPr="00E54204">
        <w:rPr>
          <w:rFonts w:cs="Times New Roman"/>
          <w:i/>
          <w:szCs w:val="20"/>
        </w:rPr>
        <w:t>bat kol</w:t>
      </w:r>
      <w:r w:rsidR="00BB7B37" w:rsidRPr="00E54204">
        <w:rPr>
          <w:rFonts w:cs="Times New Roman"/>
          <w:szCs w:val="20"/>
        </w:rPr>
        <w:t xml:space="preserve"> does not appear</w:t>
      </w:r>
      <w:r w:rsidRPr="00E54204">
        <w:rPr>
          <w:rFonts w:cs="Times New Roman"/>
          <w:szCs w:val="20"/>
        </w:rPr>
        <w:t xml:space="preserve"> in the Bible; however, he does suggest the phrase “voice of the LORD”</w:t>
      </w:r>
      <w:r w:rsidRPr="00E54204">
        <w:rPr>
          <w:rFonts w:cs="Times New Roman"/>
          <w:szCs w:val="20"/>
          <w:vertAlign w:val="superscript"/>
        </w:rPr>
        <w:footnoteReference w:id="33"/>
      </w:r>
      <w:r w:rsidR="00193EF8" w:rsidRPr="00E54204">
        <w:rPr>
          <w:rFonts w:cs="Times New Roman"/>
          <w:szCs w:val="20"/>
        </w:rPr>
        <w:t xml:space="preserve"> is relevant to the</w:t>
      </w:r>
      <w:r w:rsidR="00E3221B" w:rsidRPr="00E54204">
        <w:rPr>
          <w:rFonts w:cs="Times New Roman"/>
          <w:szCs w:val="20"/>
        </w:rPr>
        <w:t xml:space="preserve"> “daughter of a voice</w:t>
      </w:r>
      <w:r w:rsidR="00193EF8" w:rsidRPr="00E54204">
        <w:rPr>
          <w:rFonts w:cs="Times New Roman"/>
          <w:szCs w:val="20"/>
        </w:rPr>
        <w:t>”</w:t>
      </w:r>
      <w:r w:rsidRPr="00E54204">
        <w:rPr>
          <w:rFonts w:cs="Times New Roman"/>
          <w:szCs w:val="20"/>
          <w:vertAlign w:val="superscript"/>
        </w:rPr>
        <w:footnoteReference w:id="34"/>
      </w:r>
      <w:r w:rsidR="00193EF8" w:rsidRPr="00E54204">
        <w:rPr>
          <w:rFonts w:cs="Times New Roman"/>
          <w:szCs w:val="20"/>
        </w:rPr>
        <w:t xml:space="preserve"> in </w:t>
      </w:r>
      <w:r w:rsidR="00193EF8" w:rsidRPr="00E54204">
        <w:rPr>
          <w:rFonts w:cs="Times New Roman"/>
          <w:szCs w:val="20"/>
        </w:rPr>
        <w:lastRenderedPageBreak/>
        <w:t>terms of revelation.</w:t>
      </w:r>
      <w:r w:rsidR="00986EC4" w:rsidRPr="00E54204">
        <w:rPr>
          <w:rFonts w:cs="Times New Roman"/>
          <w:szCs w:val="20"/>
        </w:rPr>
        <w:t xml:space="preserve">  He notes two parallels</w:t>
      </w:r>
      <w:r w:rsidR="00AA6E6A" w:rsidRPr="00E54204">
        <w:rPr>
          <w:rFonts w:cs="Times New Roman"/>
          <w:szCs w:val="20"/>
        </w:rPr>
        <w:t xml:space="preserve"> in non-rabbinic literature</w:t>
      </w:r>
      <w:r w:rsidR="00986EC4" w:rsidRPr="00E54204">
        <w:rPr>
          <w:rFonts w:cs="Times New Roman"/>
          <w:szCs w:val="20"/>
        </w:rPr>
        <w:t xml:space="preserve"> with the </w:t>
      </w:r>
      <w:r w:rsidR="00AA6E6A" w:rsidRPr="00E54204">
        <w:rPr>
          <w:rFonts w:cs="Times New Roman"/>
          <w:i/>
          <w:szCs w:val="20"/>
        </w:rPr>
        <w:t>bat kol</w:t>
      </w:r>
      <w:r w:rsidR="00986EC4" w:rsidRPr="00E54204">
        <w:rPr>
          <w:rFonts w:cs="Times New Roman"/>
          <w:szCs w:val="20"/>
        </w:rPr>
        <w:t>.</w:t>
      </w:r>
      <w:r w:rsidRPr="00E54204">
        <w:rPr>
          <w:rFonts w:cs="Times New Roman"/>
          <w:szCs w:val="20"/>
        </w:rPr>
        <w:t xml:space="preserve">  One of</w:t>
      </w:r>
      <w:r w:rsidR="00986EC4" w:rsidRPr="00E54204">
        <w:rPr>
          <w:rFonts w:cs="Times New Roman"/>
          <w:szCs w:val="20"/>
        </w:rPr>
        <w:t xml:space="preserve"> these relates</w:t>
      </w:r>
      <w:r w:rsidRPr="00E54204">
        <w:rPr>
          <w:rFonts w:cs="Times New Roman"/>
          <w:szCs w:val="20"/>
        </w:rPr>
        <w:t xml:space="preserve"> to a </w:t>
      </w:r>
      <w:r w:rsidRPr="00E54204">
        <w:rPr>
          <w:rFonts w:cs="Times New Roman"/>
          <w:i/>
          <w:szCs w:val="20"/>
        </w:rPr>
        <w:t>bat kol</w:t>
      </w:r>
      <w:r w:rsidR="00986EC4" w:rsidRPr="00E54204">
        <w:rPr>
          <w:rFonts w:cs="Times New Roman"/>
          <w:szCs w:val="20"/>
        </w:rPr>
        <w:t xml:space="preserve"> informing John Hyrcanus</w:t>
      </w:r>
      <w:r w:rsidRPr="00E54204">
        <w:rPr>
          <w:rFonts w:cs="Times New Roman"/>
          <w:szCs w:val="20"/>
          <w:vertAlign w:val="superscript"/>
        </w:rPr>
        <w:footnoteReference w:id="35"/>
      </w:r>
      <w:r w:rsidRPr="00E54204">
        <w:rPr>
          <w:rFonts w:cs="Times New Roman"/>
          <w:szCs w:val="20"/>
        </w:rPr>
        <w:t xml:space="preserve"> while he</w:t>
      </w:r>
      <w:r w:rsidR="00986EC4" w:rsidRPr="00E54204">
        <w:rPr>
          <w:rFonts w:cs="Times New Roman"/>
          <w:szCs w:val="20"/>
        </w:rPr>
        <w:t xml:space="preserve"> was serving</w:t>
      </w:r>
      <w:r w:rsidRPr="00E54204">
        <w:rPr>
          <w:rFonts w:cs="Times New Roman"/>
          <w:szCs w:val="20"/>
        </w:rPr>
        <w:t xml:space="preserve"> in the </w:t>
      </w:r>
      <w:r w:rsidR="0052132B" w:rsidRPr="00E54204">
        <w:rPr>
          <w:rFonts w:cs="Times New Roman"/>
          <w:szCs w:val="20"/>
        </w:rPr>
        <w:t>T</w:t>
      </w:r>
      <w:r w:rsidRPr="00E54204">
        <w:rPr>
          <w:rFonts w:cs="Times New Roman"/>
          <w:szCs w:val="20"/>
        </w:rPr>
        <w:t>emple,</w:t>
      </w:r>
      <w:r w:rsidR="00986EC4" w:rsidRPr="00E54204">
        <w:rPr>
          <w:rFonts w:cs="Times New Roman"/>
          <w:szCs w:val="20"/>
        </w:rPr>
        <w:t xml:space="preserve"> that his young sons had just won</w:t>
      </w:r>
      <w:r w:rsidR="009669B8" w:rsidRPr="00E54204">
        <w:rPr>
          <w:rFonts w:cs="Times New Roman"/>
          <w:szCs w:val="20"/>
        </w:rPr>
        <w:t xml:space="preserve"> a military victory</w:t>
      </w:r>
      <w:r w:rsidRPr="00E54204">
        <w:rPr>
          <w:rFonts w:cs="Times New Roman"/>
          <w:szCs w:val="20"/>
        </w:rPr>
        <w:t>.</w:t>
      </w:r>
      <w:r w:rsidRPr="00E54204">
        <w:rPr>
          <w:rFonts w:cs="Times New Roman"/>
          <w:szCs w:val="20"/>
          <w:vertAlign w:val="superscript"/>
        </w:rPr>
        <w:footnoteReference w:id="36"/>
      </w:r>
      <w:r w:rsidRPr="00E54204">
        <w:rPr>
          <w:rFonts w:cs="Times New Roman"/>
          <w:szCs w:val="20"/>
        </w:rPr>
        <w:t xml:space="preserve">  The other similar dynamic is an account of Herodotus, when Greeks at Mycale received “word” of the victory of their compatriots while spurring them on to fight.</w:t>
      </w:r>
      <w:r w:rsidRPr="00E54204">
        <w:rPr>
          <w:rFonts w:cs="Times New Roman"/>
          <w:szCs w:val="20"/>
          <w:vertAlign w:val="superscript"/>
        </w:rPr>
        <w:footnoteReference w:id="37"/>
      </w:r>
    </w:p>
    <w:p w14:paraId="02DCF0D9" w14:textId="77777777" w:rsidR="00ED493D" w:rsidRPr="00E54204" w:rsidRDefault="00AA1903" w:rsidP="00AA1903">
      <w:pPr>
        <w:spacing w:after="160"/>
        <w:rPr>
          <w:rFonts w:cs="Times New Roman"/>
          <w:szCs w:val="20"/>
        </w:rPr>
      </w:pPr>
      <w:r w:rsidRPr="00E54204">
        <w:rPr>
          <w:rFonts w:cs="Times New Roman"/>
          <w:szCs w:val="20"/>
        </w:rPr>
        <w:tab/>
        <w:t xml:space="preserve">Part of the great worth of this book is his detailed overview of Jewish sources.  Beginning with </w:t>
      </w:r>
      <w:r w:rsidR="009669B8" w:rsidRPr="00E54204">
        <w:rPr>
          <w:rFonts w:cs="Times New Roman"/>
          <w:szCs w:val="20"/>
        </w:rPr>
        <w:t xml:space="preserve">the </w:t>
      </w:r>
      <w:r w:rsidRPr="00E54204">
        <w:rPr>
          <w:rFonts w:cs="Times New Roman"/>
          <w:szCs w:val="20"/>
        </w:rPr>
        <w:t>Mishnah and ending with the Midrashim, he highlights imp</w:t>
      </w:r>
      <w:r w:rsidR="009669B8" w:rsidRPr="00E54204">
        <w:rPr>
          <w:rFonts w:cs="Times New Roman"/>
          <w:szCs w:val="20"/>
        </w:rPr>
        <w:t xml:space="preserve">ortant places where </w:t>
      </w:r>
      <w:r w:rsidRPr="00E54204">
        <w:rPr>
          <w:rFonts w:cs="Times New Roman"/>
          <w:szCs w:val="20"/>
        </w:rPr>
        <w:t>the</w:t>
      </w:r>
      <w:r w:rsidR="009669B8" w:rsidRPr="00E54204">
        <w:rPr>
          <w:rFonts w:cs="Times New Roman"/>
          <w:szCs w:val="20"/>
        </w:rPr>
        <w:t xml:space="preserve"> term</w:t>
      </w:r>
      <w:r w:rsidRPr="00E54204">
        <w:rPr>
          <w:rFonts w:cs="Times New Roman"/>
          <w:szCs w:val="20"/>
        </w:rPr>
        <w:t xml:space="preserve"> </w:t>
      </w:r>
      <w:r w:rsidRPr="00E54204">
        <w:rPr>
          <w:rFonts w:cs="Times New Roman"/>
          <w:i/>
          <w:szCs w:val="20"/>
        </w:rPr>
        <w:t>bat kol</w:t>
      </w:r>
      <w:r w:rsidR="009669B8" w:rsidRPr="00E54204">
        <w:rPr>
          <w:rFonts w:cs="Times New Roman"/>
          <w:szCs w:val="20"/>
        </w:rPr>
        <w:t xml:space="preserve"> appears</w:t>
      </w:r>
      <w:r w:rsidRPr="00E54204">
        <w:rPr>
          <w:rFonts w:cs="Times New Roman"/>
          <w:szCs w:val="20"/>
        </w:rPr>
        <w:t xml:space="preserve">.  One such example comes from the Mishnah where we read that a woman is allowed to remarry on account of a </w:t>
      </w:r>
      <w:r w:rsidRPr="00E54204">
        <w:rPr>
          <w:rFonts w:cs="Times New Roman"/>
          <w:i/>
          <w:szCs w:val="20"/>
        </w:rPr>
        <w:t>bat kol</w:t>
      </w:r>
      <w:r w:rsidRPr="00E54204">
        <w:rPr>
          <w:rFonts w:cs="Times New Roman"/>
          <w:szCs w:val="20"/>
        </w:rPr>
        <w:t xml:space="preserve"> declaring that “so and so, the husband of so and so” has died.</w:t>
      </w:r>
      <w:r w:rsidRPr="00E54204">
        <w:rPr>
          <w:rFonts w:cs="Times New Roman"/>
          <w:szCs w:val="20"/>
          <w:vertAlign w:val="superscript"/>
        </w:rPr>
        <w:footnoteReference w:id="38"/>
      </w:r>
      <w:r w:rsidR="004F429C" w:rsidRPr="00E54204">
        <w:rPr>
          <w:rFonts w:cs="Times New Roman"/>
          <w:szCs w:val="20"/>
        </w:rPr>
        <w:t xml:space="preserve">  E</w:t>
      </w:r>
      <w:r w:rsidR="00E3221B" w:rsidRPr="00E54204">
        <w:rPr>
          <w:rFonts w:cs="Times New Roman"/>
          <w:szCs w:val="20"/>
        </w:rPr>
        <w:t xml:space="preserve">lsewhere we find the rabbis asserting that forty days prior to the formation of an embryo, a </w:t>
      </w:r>
      <w:r w:rsidR="00E3221B" w:rsidRPr="00E54204">
        <w:rPr>
          <w:rFonts w:cs="Times New Roman"/>
          <w:i/>
          <w:szCs w:val="20"/>
        </w:rPr>
        <w:t xml:space="preserve">bat kol </w:t>
      </w:r>
      <w:r w:rsidR="00E3221B" w:rsidRPr="00E54204">
        <w:rPr>
          <w:rFonts w:cs="Times New Roman"/>
          <w:szCs w:val="20"/>
        </w:rPr>
        <w:t>goes forth and announces “the daughter of so and so, for so and so, this particular house for so and so, and this particular field for so and so.”</w:t>
      </w:r>
      <w:r w:rsidR="00E3221B" w:rsidRPr="00E54204">
        <w:rPr>
          <w:rStyle w:val="FootnoteReference"/>
          <w:rFonts w:cs="Times New Roman"/>
          <w:szCs w:val="20"/>
        </w:rPr>
        <w:footnoteReference w:id="39"/>
      </w:r>
      <w:r w:rsidR="00D47F45" w:rsidRPr="00E54204">
        <w:rPr>
          <w:rFonts w:cs="Times New Roman"/>
          <w:szCs w:val="20"/>
        </w:rPr>
        <w:t xml:space="preserve">  </w:t>
      </w:r>
    </w:p>
    <w:p w14:paraId="71107950" w14:textId="77777777" w:rsidR="00AA1903" w:rsidRPr="00E54204" w:rsidRDefault="00D47F45" w:rsidP="00ED493D">
      <w:pPr>
        <w:spacing w:after="160"/>
        <w:ind w:firstLine="720"/>
        <w:rPr>
          <w:rFonts w:cs="Times New Roman"/>
          <w:szCs w:val="20"/>
        </w:rPr>
      </w:pPr>
      <w:r w:rsidRPr="00E54204">
        <w:rPr>
          <w:rFonts w:cs="Times New Roman"/>
          <w:szCs w:val="20"/>
        </w:rPr>
        <w:t>The point seems to be that marriages were believed</w:t>
      </w:r>
      <w:r w:rsidR="006E6C63" w:rsidRPr="00E54204">
        <w:rPr>
          <w:rFonts w:cs="Times New Roman"/>
          <w:szCs w:val="20"/>
        </w:rPr>
        <w:t xml:space="preserve"> to be prearranged in heaven, consequently</w:t>
      </w:r>
      <w:r w:rsidRPr="00E54204">
        <w:rPr>
          <w:rFonts w:cs="Times New Roman"/>
          <w:szCs w:val="20"/>
        </w:rPr>
        <w:t xml:space="preserve"> the </w:t>
      </w:r>
      <w:r w:rsidRPr="00E54204">
        <w:rPr>
          <w:rFonts w:cs="Times New Roman"/>
          <w:i/>
          <w:szCs w:val="20"/>
        </w:rPr>
        <w:t xml:space="preserve">bat kol </w:t>
      </w:r>
      <w:r w:rsidR="004F429C" w:rsidRPr="00E54204">
        <w:rPr>
          <w:rFonts w:cs="Times New Roman"/>
          <w:szCs w:val="20"/>
        </w:rPr>
        <w:t xml:space="preserve">enjoyed the status </w:t>
      </w:r>
      <w:r w:rsidRPr="00E54204">
        <w:rPr>
          <w:rFonts w:cs="Times New Roman"/>
          <w:szCs w:val="20"/>
        </w:rPr>
        <w:t>a</w:t>
      </w:r>
      <w:r w:rsidR="004F429C" w:rsidRPr="00E54204">
        <w:rPr>
          <w:rFonts w:cs="Times New Roman"/>
          <w:szCs w:val="20"/>
        </w:rPr>
        <w:t>s a</w:t>
      </w:r>
      <w:r w:rsidRPr="00E54204">
        <w:rPr>
          <w:rFonts w:cs="Times New Roman"/>
          <w:szCs w:val="20"/>
        </w:rPr>
        <w:t xml:space="preserve"> legitimate witness in communicating the death of a husband.  Finally, h</w:t>
      </w:r>
      <w:r w:rsidR="00AA1903" w:rsidRPr="00E54204">
        <w:rPr>
          <w:rFonts w:cs="Times New Roman"/>
          <w:szCs w:val="20"/>
        </w:rPr>
        <w:t>e notes the phrase appears eight</w:t>
      </w:r>
      <w:r w:rsidR="00D63EDB" w:rsidRPr="00E54204">
        <w:rPr>
          <w:rFonts w:cs="Times New Roman"/>
          <w:szCs w:val="20"/>
        </w:rPr>
        <w:t xml:space="preserve"> times in </w:t>
      </w:r>
      <w:r w:rsidR="00AA1903" w:rsidRPr="00E54204">
        <w:rPr>
          <w:rFonts w:cs="Times New Roman"/>
          <w:szCs w:val="20"/>
        </w:rPr>
        <w:t>Targum</w:t>
      </w:r>
      <w:r w:rsidR="00D63EDB" w:rsidRPr="00E54204">
        <w:rPr>
          <w:rFonts w:cs="Times New Roman"/>
          <w:szCs w:val="20"/>
        </w:rPr>
        <w:t xml:space="preserve"> Pseudo Jonathan</w:t>
      </w:r>
      <w:r w:rsidR="00AA1903" w:rsidRPr="00E54204">
        <w:rPr>
          <w:rFonts w:cs="Times New Roman"/>
          <w:szCs w:val="20"/>
        </w:rPr>
        <w:t>, usually beginning with the phrase “from heaven.”  The first four occur in the</w:t>
      </w:r>
      <w:r w:rsidR="001B1072" w:rsidRPr="00E54204">
        <w:rPr>
          <w:rFonts w:cs="Times New Roman"/>
          <w:szCs w:val="20"/>
        </w:rPr>
        <w:t xml:space="preserve"> </w:t>
      </w:r>
      <w:r w:rsidR="001B1072" w:rsidRPr="00E54204">
        <w:rPr>
          <w:rFonts w:cs="Times New Roman"/>
          <w:szCs w:val="20"/>
        </w:rPr>
        <w:lastRenderedPageBreak/>
        <w:t>Torah</w:t>
      </w:r>
      <w:r w:rsidR="00781D20" w:rsidRPr="00E54204">
        <w:rPr>
          <w:rFonts w:cs="Times New Roman"/>
          <w:szCs w:val="20"/>
        </w:rPr>
        <w:t xml:space="preserve"> (</w:t>
      </w:r>
      <w:r w:rsidR="0068324F" w:rsidRPr="00E54204">
        <w:rPr>
          <w:rFonts w:cs="Times New Roman"/>
          <w:szCs w:val="20"/>
        </w:rPr>
        <w:t xml:space="preserve">Gen. 38:26; </w:t>
      </w:r>
      <w:r w:rsidR="00781D20" w:rsidRPr="00E54204">
        <w:rPr>
          <w:rFonts w:cs="Times New Roman"/>
          <w:szCs w:val="20"/>
        </w:rPr>
        <w:t>Num. 21:6; Deut. 28:</w:t>
      </w:r>
      <w:r w:rsidR="0068324F" w:rsidRPr="00E54204">
        <w:rPr>
          <w:rFonts w:cs="Times New Roman"/>
          <w:szCs w:val="20"/>
        </w:rPr>
        <w:t>15, 34:5)</w:t>
      </w:r>
      <w:r w:rsidR="00781D20" w:rsidRPr="00E54204">
        <w:rPr>
          <w:rFonts w:cs="Times New Roman"/>
          <w:szCs w:val="20"/>
        </w:rPr>
        <w:t xml:space="preserve"> </w:t>
      </w:r>
      <w:r w:rsidR="001B1072" w:rsidRPr="00E54204">
        <w:rPr>
          <w:rFonts w:cs="Times New Roman"/>
          <w:szCs w:val="20"/>
        </w:rPr>
        <w:t>while the remaining</w:t>
      </w:r>
      <w:r w:rsidR="00781D20" w:rsidRPr="00E54204">
        <w:rPr>
          <w:rFonts w:cs="Times New Roman"/>
          <w:szCs w:val="20"/>
        </w:rPr>
        <w:t xml:space="preserve"> four</w:t>
      </w:r>
      <w:r w:rsidR="001B1072" w:rsidRPr="00E54204">
        <w:rPr>
          <w:rFonts w:cs="Times New Roman"/>
          <w:szCs w:val="20"/>
        </w:rPr>
        <w:t xml:space="preserve"> examples</w:t>
      </w:r>
      <w:r w:rsidR="00AA1903" w:rsidRPr="00E54204">
        <w:rPr>
          <w:rFonts w:cs="Times New Roman"/>
          <w:szCs w:val="20"/>
        </w:rPr>
        <w:t xml:space="preserve"> are found in the Targumim of, </w:t>
      </w:r>
      <w:r w:rsidR="00781D20" w:rsidRPr="00E54204">
        <w:rPr>
          <w:rFonts w:cs="Times New Roman"/>
          <w:szCs w:val="20"/>
        </w:rPr>
        <w:t>Song of Solomon (2:14; 4:1),</w:t>
      </w:r>
      <w:r w:rsidR="00AA1903" w:rsidRPr="00E54204">
        <w:rPr>
          <w:rFonts w:cs="Times New Roman"/>
          <w:szCs w:val="20"/>
        </w:rPr>
        <w:t xml:space="preserve"> Esther</w:t>
      </w:r>
      <w:r w:rsidR="007A21CE" w:rsidRPr="00E54204">
        <w:rPr>
          <w:rFonts w:cs="Times New Roman"/>
          <w:szCs w:val="20"/>
        </w:rPr>
        <w:t xml:space="preserve"> </w:t>
      </w:r>
      <w:r w:rsidR="00781D20" w:rsidRPr="00E54204">
        <w:rPr>
          <w:rFonts w:cs="Times New Roman"/>
          <w:szCs w:val="20"/>
        </w:rPr>
        <w:t>(5:14), and Lamentations (3:38).</w:t>
      </w:r>
    </w:p>
    <w:p w14:paraId="200AF305" w14:textId="77777777" w:rsidR="00AA1903" w:rsidRPr="00E54204" w:rsidRDefault="008E6448" w:rsidP="00AA1903">
      <w:pPr>
        <w:spacing w:after="160"/>
        <w:rPr>
          <w:rFonts w:cs="Times New Roman"/>
          <w:b/>
          <w:szCs w:val="20"/>
        </w:rPr>
      </w:pPr>
      <w:r w:rsidRPr="00E54204">
        <w:rPr>
          <w:rFonts w:cs="Times New Roman"/>
          <w:b/>
          <w:szCs w:val="20"/>
        </w:rPr>
        <w:t>V.</w:t>
      </w:r>
      <w:r w:rsidRPr="00E54204">
        <w:rPr>
          <w:rFonts w:cs="Times New Roman"/>
          <w:b/>
          <w:szCs w:val="20"/>
        </w:rPr>
        <w:tab/>
      </w:r>
      <w:r w:rsidR="00AA1903" w:rsidRPr="00E54204">
        <w:rPr>
          <w:rFonts w:cs="Times New Roman"/>
          <w:b/>
          <w:i/>
          <w:szCs w:val="20"/>
        </w:rPr>
        <w:t>Jewish Encyclopedia</w:t>
      </w:r>
      <w:r w:rsidR="00AA1903" w:rsidRPr="00E54204">
        <w:rPr>
          <w:rFonts w:cs="Times New Roman"/>
          <w:b/>
          <w:szCs w:val="20"/>
        </w:rPr>
        <w:t xml:space="preserve"> </w:t>
      </w:r>
      <w:r w:rsidR="00C601CF" w:rsidRPr="00E54204">
        <w:rPr>
          <w:rFonts w:cs="Times New Roman"/>
          <w:b/>
          <w:szCs w:val="20"/>
        </w:rPr>
        <w:t xml:space="preserve">(article by Ludwig Blau and Kauffmann Kohler, </w:t>
      </w:r>
      <w:r w:rsidR="00AA1903" w:rsidRPr="00E54204">
        <w:rPr>
          <w:rFonts w:cs="Times New Roman"/>
          <w:b/>
          <w:szCs w:val="20"/>
        </w:rPr>
        <w:t>1906)</w:t>
      </w:r>
    </w:p>
    <w:p w14:paraId="5F19C215" w14:textId="77777777" w:rsidR="00AA1903" w:rsidRPr="00E54204" w:rsidRDefault="00AA1903" w:rsidP="00AA1903">
      <w:pPr>
        <w:spacing w:after="160"/>
        <w:rPr>
          <w:rFonts w:cs="Times New Roman"/>
          <w:szCs w:val="20"/>
        </w:rPr>
      </w:pPr>
      <w:r w:rsidRPr="00E54204">
        <w:rPr>
          <w:rFonts w:cs="Times New Roman"/>
          <w:b/>
          <w:szCs w:val="20"/>
        </w:rPr>
        <w:tab/>
      </w:r>
      <w:r w:rsidRPr="00E54204">
        <w:rPr>
          <w:rFonts w:cs="Times New Roman"/>
          <w:szCs w:val="20"/>
        </w:rPr>
        <w:t>One of the most comprehensive</w:t>
      </w:r>
      <w:r w:rsidR="009669B8" w:rsidRPr="00E54204">
        <w:rPr>
          <w:rFonts w:cs="Times New Roman"/>
          <w:szCs w:val="20"/>
        </w:rPr>
        <w:t xml:space="preserve"> reference works is Ludwig Blau</w:t>
      </w:r>
      <w:r w:rsidRPr="00E54204">
        <w:rPr>
          <w:rFonts w:cs="Times New Roman"/>
          <w:szCs w:val="20"/>
        </w:rPr>
        <w:t xml:space="preserve"> and Kauffmann Kohler’s article from the </w:t>
      </w:r>
      <w:r w:rsidRPr="00E54204">
        <w:rPr>
          <w:rFonts w:cs="Times New Roman"/>
          <w:i/>
          <w:szCs w:val="20"/>
        </w:rPr>
        <w:t>Jewish Encyclopedia</w:t>
      </w:r>
      <w:r w:rsidRPr="00E54204">
        <w:rPr>
          <w:rFonts w:cs="Times New Roman"/>
          <w:szCs w:val="20"/>
        </w:rPr>
        <w:t xml:space="preserve">.  Essentially, the article views the </w:t>
      </w:r>
      <w:r w:rsidRPr="00E54204">
        <w:rPr>
          <w:rFonts w:cs="Times New Roman"/>
          <w:i/>
          <w:szCs w:val="20"/>
        </w:rPr>
        <w:t>bat kol</w:t>
      </w:r>
      <w:r w:rsidRPr="00E54204">
        <w:rPr>
          <w:rFonts w:cs="Times New Roman"/>
          <w:szCs w:val="20"/>
        </w:rPr>
        <w:t xml:space="preserve"> as a harbi</w:t>
      </w:r>
      <w:r w:rsidR="009669B8" w:rsidRPr="00E54204">
        <w:rPr>
          <w:rFonts w:cs="Times New Roman"/>
          <w:szCs w:val="20"/>
        </w:rPr>
        <w:t>nger of God’s will and judgment,</w:t>
      </w:r>
      <w:r w:rsidRPr="00E54204">
        <w:rPr>
          <w:rFonts w:cs="Times New Roman"/>
          <w:szCs w:val="20"/>
        </w:rPr>
        <w:t xml:space="preserve"> a lesser gift than prophecy but not a less significant mode of prophecy.  According to B.</w:t>
      </w:r>
      <w:r w:rsidR="00D63EDB" w:rsidRPr="00E54204">
        <w:rPr>
          <w:rFonts w:cs="Times New Roman"/>
          <w:szCs w:val="20"/>
        </w:rPr>
        <w:t xml:space="preserve"> </w:t>
      </w:r>
      <w:r w:rsidRPr="00E54204">
        <w:rPr>
          <w:rFonts w:cs="Times New Roman"/>
          <w:i/>
          <w:szCs w:val="20"/>
        </w:rPr>
        <w:t xml:space="preserve">Sotah </w:t>
      </w:r>
      <w:r w:rsidRPr="00E54204">
        <w:rPr>
          <w:rFonts w:cs="Times New Roman"/>
          <w:szCs w:val="20"/>
        </w:rPr>
        <w:t xml:space="preserve">33a the </w:t>
      </w:r>
      <w:r w:rsidRPr="00E54204">
        <w:rPr>
          <w:rFonts w:cs="Times New Roman"/>
          <w:i/>
          <w:szCs w:val="20"/>
        </w:rPr>
        <w:t xml:space="preserve">bat kol </w:t>
      </w:r>
      <w:r w:rsidRPr="00E54204">
        <w:rPr>
          <w:rFonts w:cs="Times New Roman"/>
          <w:szCs w:val="20"/>
        </w:rPr>
        <w:t>was understood to be the voices of angels, particularly Gabriel, who knows all the world’s languages.</w:t>
      </w:r>
      <w:r w:rsidRPr="00E54204">
        <w:rPr>
          <w:rFonts w:cs="Times New Roman"/>
          <w:szCs w:val="20"/>
          <w:vertAlign w:val="superscript"/>
        </w:rPr>
        <w:footnoteReference w:id="40"/>
      </w:r>
      <w:r w:rsidRPr="00E54204">
        <w:rPr>
          <w:rFonts w:cs="Times New Roman"/>
          <w:szCs w:val="20"/>
        </w:rPr>
        <w:t xml:space="preserve">  Contrary to opinions that uphold that the term is better understood to mean an “echo,” the authors consider this an unfounded interpretation</w:t>
      </w:r>
      <w:r w:rsidR="00DA0E6F" w:rsidRPr="00E54204">
        <w:rPr>
          <w:rFonts w:cs="Times New Roman"/>
          <w:szCs w:val="20"/>
        </w:rPr>
        <w:t xml:space="preserve"> since the Hebrew word </w:t>
      </w:r>
      <w:r w:rsidR="00DA0E6F" w:rsidRPr="00E54204">
        <w:rPr>
          <w:rFonts w:cs="Times New Roman"/>
          <w:i/>
          <w:szCs w:val="20"/>
        </w:rPr>
        <w:t>habarah</w:t>
      </w:r>
      <w:r w:rsidR="00DA0E6F" w:rsidRPr="00E54204">
        <w:rPr>
          <w:rFonts w:cs="Times New Roman"/>
          <w:szCs w:val="20"/>
        </w:rPr>
        <w:t>, is sometimes used to denote reverberating sounds such as an echo.</w:t>
      </w:r>
      <w:r w:rsidRPr="00E54204">
        <w:rPr>
          <w:rFonts w:cs="Times New Roman"/>
          <w:szCs w:val="20"/>
          <w:vertAlign w:val="superscript"/>
        </w:rPr>
        <w:footnoteReference w:id="41"/>
      </w:r>
      <w:r w:rsidR="00DA0E6F" w:rsidRPr="00E54204">
        <w:rPr>
          <w:rFonts w:cs="Times New Roman"/>
          <w:szCs w:val="20"/>
        </w:rPr>
        <w:t xml:space="preserve">  </w:t>
      </w:r>
      <w:r w:rsidRPr="00E54204">
        <w:rPr>
          <w:rFonts w:cs="Times New Roman"/>
          <w:szCs w:val="20"/>
        </w:rPr>
        <w:t>Rather, they characterize the phrase as a voice heard where no one is to be found, in addition to the extraordinary quality of the sound being heard.</w:t>
      </w:r>
      <w:r w:rsidRPr="00E54204">
        <w:rPr>
          <w:rFonts w:cs="Times New Roman"/>
          <w:szCs w:val="20"/>
          <w:vertAlign w:val="superscript"/>
        </w:rPr>
        <w:footnoteReference w:id="42"/>
      </w:r>
      <w:r w:rsidRPr="00E54204">
        <w:rPr>
          <w:rFonts w:cs="Times New Roman"/>
          <w:szCs w:val="20"/>
        </w:rPr>
        <w:t xml:space="preserve">  This trait of divine revelation is found repeatedly throughout the Hebrew Bible such as when the prophet Ezekiel heard the voice of God speaking to him</w:t>
      </w:r>
      <w:r w:rsidRPr="00E54204">
        <w:rPr>
          <w:rFonts w:cs="Times New Roman"/>
          <w:szCs w:val="20"/>
          <w:vertAlign w:val="superscript"/>
        </w:rPr>
        <w:footnoteReference w:id="43"/>
      </w:r>
      <w:r w:rsidRPr="00E54204">
        <w:rPr>
          <w:rFonts w:cs="Times New Roman"/>
          <w:szCs w:val="20"/>
        </w:rPr>
        <w:t>, Elijah discerning God’s still small voice</w:t>
      </w:r>
      <w:r w:rsidRPr="00E54204">
        <w:rPr>
          <w:rFonts w:cs="Times New Roman"/>
          <w:szCs w:val="20"/>
          <w:vertAlign w:val="superscript"/>
        </w:rPr>
        <w:footnoteReference w:id="44"/>
      </w:r>
      <w:r w:rsidRPr="00E54204">
        <w:rPr>
          <w:rFonts w:cs="Times New Roman"/>
          <w:szCs w:val="20"/>
        </w:rPr>
        <w:t xml:space="preserve">, and the </w:t>
      </w:r>
      <w:r w:rsidRPr="00E54204">
        <w:rPr>
          <w:rFonts w:cs="Times New Roman"/>
          <w:szCs w:val="20"/>
        </w:rPr>
        <w:lastRenderedPageBreak/>
        <w:t>prophet’s descriptions of God’s voice ringing forth from the heights of Jerusalem.</w:t>
      </w:r>
      <w:r w:rsidRPr="00E54204">
        <w:rPr>
          <w:rFonts w:cs="Times New Roman"/>
          <w:szCs w:val="20"/>
          <w:vertAlign w:val="superscript"/>
        </w:rPr>
        <w:footnoteReference w:id="45"/>
      </w:r>
      <w:r w:rsidRPr="00E54204">
        <w:rPr>
          <w:rFonts w:cs="Times New Roman"/>
          <w:szCs w:val="20"/>
        </w:rPr>
        <w:t xml:space="preserve">  They also </w:t>
      </w:r>
      <w:r w:rsidR="007A0CBA" w:rsidRPr="00E54204">
        <w:rPr>
          <w:rFonts w:cs="Times New Roman"/>
          <w:szCs w:val="20"/>
        </w:rPr>
        <w:t xml:space="preserve">observe that a </w:t>
      </w:r>
      <w:r w:rsidR="007A0CBA" w:rsidRPr="00E54204">
        <w:rPr>
          <w:rFonts w:cs="Times New Roman"/>
          <w:i/>
          <w:szCs w:val="20"/>
        </w:rPr>
        <w:t>bat kol</w:t>
      </w:r>
      <w:r w:rsidR="007A0CBA" w:rsidRPr="00E54204">
        <w:rPr>
          <w:rFonts w:cs="Times New Roman"/>
          <w:szCs w:val="20"/>
        </w:rPr>
        <w:t xml:space="preserve"> typically conveys </w:t>
      </w:r>
      <w:r w:rsidRPr="00E54204">
        <w:rPr>
          <w:rFonts w:cs="Times New Roman"/>
          <w:szCs w:val="20"/>
        </w:rPr>
        <w:t>negative tidings versus instances of positive news where God himself communicates the message without the use of a “voice from heaven</w:t>
      </w:r>
      <w:r w:rsidR="007A0CBA" w:rsidRPr="00E54204">
        <w:rPr>
          <w:rFonts w:cs="Times New Roman"/>
          <w:szCs w:val="20"/>
        </w:rPr>
        <w:t>.”</w:t>
      </w:r>
      <w:r w:rsidRPr="00E54204">
        <w:rPr>
          <w:rFonts w:cs="Times New Roman"/>
          <w:szCs w:val="20"/>
          <w:vertAlign w:val="superscript"/>
        </w:rPr>
        <w:footnoteReference w:id="46"/>
      </w:r>
    </w:p>
    <w:p w14:paraId="7A379377" w14:textId="77777777" w:rsidR="00AA1903" w:rsidRPr="00E54204" w:rsidRDefault="00AA1903" w:rsidP="00AA1903">
      <w:pPr>
        <w:spacing w:after="160"/>
        <w:rPr>
          <w:rFonts w:cs="Times New Roman"/>
          <w:szCs w:val="20"/>
        </w:rPr>
      </w:pPr>
      <w:r w:rsidRPr="00E54204">
        <w:rPr>
          <w:rFonts w:cs="Times New Roman"/>
          <w:szCs w:val="20"/>
        </w:rPr>
        <w:tab/>
        <w:t>The article also comments on</w:t>
      </w:r>
      <w:r w:rsidR="0035436F" w:rsidRPr="00E54204">
        <w:rPr>
          <w:rFonts w:cs="Times New Roman"/>
          <w:szCs w:val="20"/>
        </w:rPr>
        <w:t xml:space="preserve"> certain</w:t>
      </w:r>
      <w:r w:rsidR="00F96434" w:rsidRPr="00E54204">
        <w:rPr>
          <w:rFonts w:cs="Times New Roman"/>
          <w:szCs w:val="20"/>
        </w:rPr>
        <w:t xml:space="preserve"> functions such as</w:t>
      </w:r>
      <w:r w:rsidRPr="00E54204">
        <w:rPr>
          <w:rFonts w:cs="Times New Roman"/>
          <w:szCs w:val="20"/>
        </w:rPr>
        <w:t xml:space="preserve"> embellishing Biblical stories, appearing during supernatural events, and in moments of death or martyrdom.  They also consider it to be divine in nature, noting that it is used interchangeably in rabbinic writings with God and the Holy Spirit,</w:t>
      </w:r>
      <w:r w:rsidR="008C6F3F" w:rsidRPr="00E54204">
        <w:rPr>
          <w:rFonts w:cs="Times New Roman"/>
          <w:szCs w:val="20"/>
        </w:rPr>
        <w:t xml:space="preserve"> </w:t>
      </w:r>
      <w:r w:rsidRPr="00E54204">
        <w:rPr>
          <w:rFonts w:cs="Times New Roman"/>
          <w:szCs w:val="20"/>
        </w:rPr>
        <w:t xml:space="preserve">including the fact that sometimes God speaks via the </w:t>
      </w:r>
      <w:r w:rsidRPr="00E54204">
        <w:rPr>
          <w:rFonts w:cs="Times New Roman"/>
          <w:i/>
          <w:szCs w:val="20"/>
        </w:rPr>
        <w:t>bat kol</w:t>
      </w:r>
      <w:r w:rsidRPr="00E54204">
        <w:rPr>
          <w:rFonts w:cs="Times New Roman"/>
          <w:szCs w:val="20"/>
        </w:rPr>
        <w:t xml:space="preserve"> in the first-person.</w:t>
      </w:r>
      <w:r w:rsidRPr="00E54204">
        <w:rPr>
          <w:rFonts w:cs="Times New Roman"/>
          <w:szCs w:val="20"/>
          <w:vertAlign w:val="superscript"/>
        </w:rPr>
        <w:footnoteReference w:id="47"/>
      </w:r>
      <w:r w:rsidRPr="00E54204">
        <w:rPr>
          <w:rFonts w:cs="Times New Roman"/>
          <w:szCs w:val="20"/>
        </w:rPr>
        <w:t xml:space="preserve">  According to the authors, a later-apocalyptic view upheld that its main function was to lead celestial beings in the adulation of the most-high.</w:t>
      </w:r>
      <w:r w:rsidRPr="00E54204">
        <w:rPr>
          <w:rFonts w:cs="Times New Roman"/>
          <w:szCs w:val="20"/>
          <w:vertAlign w:val="superscript"/>
        </w:rPr>
        <w:footnoteReference w:id="48"/>
      </w:r>
      <w:r w:rsidRPr="00E54204">
        <w:rPr>
          <w:rFonts w:cs="Times New Roman"/>
          <w:szCs w:val="20"/>
        </w:rPr>
        <w:t xml:space="preserve">  Similarly, another view admonishes the </w:t>
      </w:r>
      <w:r w:rsidR="004F4043" w:rsidRPr="00E54204">
        <w:rPr>
          <w:rFonts w:cs="Times New Roman"/>
          <w:i/>
          <w:szCs w:val="20"/>
        </w:rPr>
        <w:t>S</w:t>
      </w:r>
      <w:r w:rsidR="000A6666" w:rsidRPr="00E54204">
        <w:rPr>
          <w:rFonts w:cs="Times New Roman"/>
          <w:i/>
          <w:szCs w:val="20"/>
        </w:rPr>
        <w:t>hech</w:t>
      </w:r>
      <w:r w:rsidRPr="00E54204">
        <w:rPr>
          <w:rFonts w:cs="Times New Roman"/>
          <w:i/>
          <w:szCs w:val="20"/>
        </w:rPr>
        <w:t>inah</w:t>
      </w:r>
      <w:r w:rsidRPr="00E54204">
        <w:rPr>
          <w:rFonts w:cs="Times New Roman"/>
          <w:szCs w:val="20"/>
          <w:vertAlign w:val="superscript"/>
        </w:rPr>
        <w:footnoteReference w:id="49"/>
      </w:r>
      <w:r w:rsidRPr="00E54204">
        <w:rPr>
          <w:rFonts w:cs="Times New Roman"/>
          <w:szCs w:val="20"/>
        </w:rPr>
        <w:t xml:space="preserve"> to flee upon hearing a dissonant synagogue.</w:t>
      </w:r>
      <w:r w:rsidRPr="00E54204">
        <w:rPr>
          <w:rFonts w:cs="Times New Roman"/>
          <w:szCs w:val="20"/>
          <w:vertAlign w:val="superscript"/>
        </w:rPr>
        <w:footnoteReference w:id="50"/>
      </w:r>
    </w:p>
    <w:p w14:paraId="41213564" w14:textId="77777777" w:rsidR="00C601CF" w:rsidRPr="00E54204" w:rsidRDefault="00C601CF" w:rsidP="00AA1903">
      <w:pPr>
        <w:spacing w:after="160"/>
        <w:rPr>
          <w:rFonts w:cs="Times New Roman"/>
          <w:szCs w:val="20"/>
        </w:rPr>
      </w:pPr>
    </w:p>
    <w:p w14:paraId="320A0C3B" w14:textId="77777777" w:rsidR="00C601CF" w:rsidRPr="00E54204" w:rsidRDefault="00C601CF" w:rsidP="00AA1903">
      <w:pPr>
        <w:spacing w:after="160"/>
        <w:rPr>
          <w:rFonts w:cs="Times New Roman"/>
          <w:szCs w:val="20"/>
        </w:rPr>
      </w:pPr>
    </w:p>
    <w:p w14:paraId="4683F12D" w14:textId="77777777" w:rsidR="00C601CF" w:rsidRPr="00E54204" w:rsidRDefault="00C601CF" w:rsidP="00AA1903">
      <w:pPr>
        <w:spacing w:after="160"/>
        <w:rPr>
          <w:rFonts w:cs="Times New Roman"/>
          <w:szCs w:val="20"/>
        </w:rPr>
      </w:pPr>
    </w:p>
    <w:p w14:paraId="4EC81899" w14:textId="77777777" w:rsidR="00C601CF" w:rsidRPr="00E54204" w:rsidRDefault="008E6448" w:rsidP="00C601CF">
      <w:pPr>
        <w:spacing w:after="160"/>
        <w:rPr>
          <w:rFonts w:cs="Times New Roman"/>
          <w:szCs w:val="20"/>
        </w:rPr>
      </w:pPr>
      <w:r w:rsidRPr="00E54204">
        <w:rPr>
          <w:rFonts w:cs="Times New Roman"/>
          <w:b/>
          <w:szCs w:val="20"/>
        </w:rPr>
        <w:lastRenderedPageBreak/>
        <w:t>VI.</w:t>
      </w:r>
      <w:r w:rsidRPr="00E54204">
        <w:rPr>
          <w:rFonts w:cs="Times New Roman"/>
          <w:b/>
          <w:szCs w:val="20"/>
        </w:rPr>
        <w:tab/>
      </w:r>
      <w:r w:rsidR="009E4BBB" w:rsidRPr="00E54204">
        <w:rPr>
          <w:rFonts w:cs="Times New Roman"/>
          <w:b/>
          <w:i/>
          <w:szCs w:val="20"/>
        </w:rPr>
        <w:t xml:space="preserve">Judaism in the First Centuries of the Christian Era </w:t>
      </w:r>
      <w:r w:rsidR="009E4BBB" w:rsidRPr="00E54204">
        <w:rPr>
          <w:rFonts w:cs="Times New Roman"/>
          <w:b/>
          <w:szCs w:val="20"/>
        </w:rPr>
        <w:t>by George F. Moore (1927</w:t>
      </w:r>
      <w:r w:rsidR="00C601CF" w:rsidRPr="00E54204">
        <w:rPr>
          <w:rFonts w:cs="Times New Roman"/>
          <w:b/>
          <w:szCs w:val="20"/>
        </w:rPr>
        <w:t>)</w:t>
      </w:r>
    </w:p>
    <w:p w14:paraId="6D6489D5" w14:textId="77777777" w:rsidR="009E4BBB" w:rsidRPr="00E54204" w:rsidRDefault="009E4BBB" w:rsidP="00C601CF">
      <w:pPr>
        <w:spacing w:after="160"/>
        <w:ind w:firstLine="720"/>
        <w:rPr>
          <w:rFonts w:cs="Times New Roman"/>
          <w:szCs w:val="20"/>
        </w:rPr>
      </w:pPr>
      <w:r w:rsidRPr="00E54204">
        <w:rPr>
          <w:rFonts w:cs="Times New Roman"/>
          <w:szCs w:val="20"/>
        </w:rPr>
        <w:t>George Foot Moore, published a multi-volume work of Judaism during the fir</w:t>
      </w:r>
      <w:r w:rsidR="00321FCC" w:rsidRPr="00E54204">
        <w:rPr>
          <w:rFonts w:cs="Times New Roman"/>
          <w:szCs w:val="20"/>
        </w:rPr>
        <w:t>st centuries of Christianity</w:t>
      </w:r>
      <w:r w:rsidRPr="00E54204">
        <w:rPr>
          <w:rFonts w:cs="Times New Roman"/>
          <w:szCs w:val="20"/>
        </w:rPr>
        <w:t xml:space="preserve">.  He essentially defined </w:t>
      </w:r>
      <w:r w:rsidRPr="00E54204">
        <w:rPr>
          <w:rFonts w:cs="Times New Roman"/>
          <w:i/>
          <w:szCs w:val="20"/>
        </w:rPr>
        <w:t xml:space="preserve">bat kol </w:t>
      </w:r>
      <w:r w:rsidRPr="00E54204">
        <w:rPr>
          <w:rFonts w:cs="Times New Roman"/>
          <w:szCs w:val="20"/>
        </w:rPr>
        <w:t>as a, “resonance, echo.”</w:t>
      </w:r>
      <w:r w:rsidRPr="00E54204">
        <w:rPr>
          <w:rFonts w:cs="Times New Roman"/>
          <w:szCs w:val="20"/>
          <w:vertAlign w:val="superscript"/>
        </w:rPr>
        <w:footnoteReference w:id="51"/>
      </w:r>
      <w:r w:rsidRPr="00E54204">
        <w:rPr>
          <w:rFonts w:cs="Times New Roman"/>
          <w:szCs w:val="20"/>
        </w:rPr>
        <w:t xml:space="preserve"> Moreover</w:t>
      </w:r>
      <w:r w:rsidR="00261CC1" w:rsidRPr="00E54204">
        <w:rPr>
          <w:rFonts w:cs="Times New Roman"/>
          <w:szCs w:val="20"/>
        </w:rPr>
        <w:t>,</w:t>
      </w:r>
      <w:r w:rsidRPr="00E54204">
        <w:rPr>
          <w:rFonts w:cs="Times New Roman"/>
          <w:szCs w:val="20"/>
        </w:rPr>
        <w:t xml:space="preserve"> he wrote, “In the use we are discussing it is an articulate and intelligible sound proceeding from an invisible source, generally from the sk</w:t>
      </w:r>
      <w:r w:rsidR="0052132B" w:rsidRPr="00E54204">
        <w:rPr>
          <w:rFonts w:cs="Times New Roman"/>
          <w:szCs w:val="20"/>
        </w:rPr>
        <w:t>y, or out of the adytum of the T</w:t>
      </w:r>
      <w:r w:rsidRPr="00E54204">
        <w:rPr>
          <w:rFonts w:cs="Times New Roman"/>
          <w:szCs w:val="20"/>
        </w:rPr>
        <w:t>emple.</w:t>
      </w:r>
      <w:r w:rsidR="0052132B" w:rsidRPr="00E54204">
        <w:rPr>
          <w:rFonts w:cs="Times New Roman"/>
          <w:szCs w:val="20"/>
        </w:rPr>
        <w:t>”</w:t>
      </w:r>
      <w:r w:rsidRPr="00E54204">
        <w:rPr>
          <w:rFonts w:cs="Times New Roman"/>
          <w:szCs w:val="20"/>
          <w:vertAlign w:val="superscript"/>
        </w:rPr>
        <w:footnoteReference w:id="52"/>
      </w:r>
      <w:r w:rsidRPr="00E54204">
        <w:rPr>
          <w:rFonts w:cs="Times New Roman"/>
          <w:szCs w:val="20"/>
        </w:rPr>
        <w:t xml:space="preserve">  In Moore’s view, the most important example of the </w:t>
      </w:r>
      <w:r w:rsidRPr="00E54204">
        <w:rPr>
          <w:rFonts w:cs="Times New Roman"/>
          <w:i/>
          <w:szCs w:val="20"/>
        </w:rPr>
        <w:t xml:space="preserve">bat kol </w:t>
      </w:r>
      <w:r w:rsidRPr="00E54204">
        <w:rPr>
          <w:rFonts w:cs="Times New Roman"/>
          <w:szCs w:val="20"/>
        </w:rPr>
        <w:t>is the story of when the sages were gathered at Yavneh in order to settle a</w:t>
      </w:r>
      <w:r w:rsidR="00CE75C3" w:rsidRPr="00E54204">
        <w:rPr>
          <w:rFonts w:cs="Times New Roman"/>
          <w:szCs w:val="20"/>
        </w:rPr>
        <w:t xml:space="preserve"> prolonged</w:t>
      </w:r>
      <w:r w:rsidRPr="00E54204">
        <w:rPr>
          <w:rFonts w:cs="Times New Roman"/>
          <w:szCs w:val="20"/>
        </w:rPr>
        <w:t xml:space="preserve"> dispute between the two schools of Hillel and Shammai.  The voice from heaven affirmed that both rulings were the words of God, but that the school of Hillel should be followed.  He also surmises why the epithet </w:t>
      </w:r>
      <w:r w:rsidRPr="00E54204">
        <w:rPr>
          <w:rFonts w:cs="Times New Roman"/>
          <w:i/>
          <w:szCs w:val="20"/>
        </w:rPr>
        <w:t>bat kol</w:t>
      </w:r>
      <w:r w:rsidRPr="00E54204">
        <w:rPr>
          <w:rFonts w:cs="Times New Roman"/>
          <w:szCs w:val="20"/>
          <w:vertAlign w:val="superscript"/>
        </w:rPr>
        <w:footnoteReference w:id="53"/>
      </w:r>
      <w:r w:rsidRPr="00E54204">
        <w:rPr>
          <w:rFonts w:cs="Times New Roman"/>
          <w:szCs w:val="20"/>
        </w:rPr>
        <w:t xml:space="preserve"> is used rather than the more traditional, </w:t>
      </w:r>
      <w:r w:rsidRPr="00E54204">
        <w:rPr>
          <w:rFonts w:cs="Times New Roman"/>
          <w:i/>
          <w:szCs w:val="20"/>
        </w:rPr>
        <w:t>kol</w:t>
      </w:r>
      <w:r w:rsidRPr="00E54204">
        <w:rPr>
          <w:rFonts w:cs="Times New Roman"/>
          <w:szCs w:val="20"/>
        </w:rPr>
        <w:t xml:space="preserve"> (voice), when referring to speech believed to originate from heaven: namely, it was to avoid the possibility for individuals to claim that they heard God’s voice directly.</w:t>
      </w:r>
      <w:r w:rsidRPr="00E54204">
        <w:rPr>
          <w:rFonts w:cs="Times New Roman"/>
          <w:szCs w:val="20"/>
          <w:vertAlign w:val="superscript"/>
        </w:rPr>
        <w:footnoteReference w:id="54"/>
      </w:r>
      <w:r w:rsidRPr="00E54204">
        <w:rPr>
          <w:rFonts w:cs="Times New Roman"/>
          <w:szCs w:val="20"/>
        </w:rPr>
        <w:t xml:space="preserve">  This view complements the sage’s statement concerning the departure of the Holy Spirit after the death of the last prophets.  Undoubtedly, the sages appropriated the role as the custodians of God’s revelation, the ones who both discover and propagate God’s will.</w:t>
      </w:r>
    </w:p>
    <w:p w14:paraId="4508B1EE" w14:textId="77777777" w:rsidR="00C601CF" w:rsidRPr="00E54204" w:rsidRDefault="00C601CF" w:rsidP="00C601CF">
      <w:pPr>
        <w:spacing w:after="160"/>
        <w:ind w:firstLine="720"/>
        <w:rPr>
          <w:rFonts w:cs="Times New Roman"/>
          <w:szCs w:val="20"/>
        </w:rPr>
      </w:pPr>
    </w:p>
    <w:p w14:paraId="799ED38B" w14:textId="77777777" w:rsidR="00AA1903" w:rsidRPr="00E54204" w:rsidRDefault="006F0CA0" w:rsidP="00AA1903">
      <w:pPr>
        <w:spacing w:after="160"/>
        <w:rPr>
          <w:rFonts w:cs="Times New Roman"/>
          <w:b/>
          <w:szCs w:val="20"/>
        </w:rPr>
      </w:pPr>
      <w:r w:rsidRPr="00E54204">
        <w:rPr>
          <w:rFonts w:cs="Times New Roman"/>
          <w:b/>
          <w:szCs w:val="20"/>
        </w:rPr>
        <w:lastRenderedPageBreak/>
        <w:t>VII.</w:t>
      </w:r>
      <w:r w:rsidRPr="00E54204">
        <w:rPr>
          <w:rFonts w:cs="Times New Roman"/>
          <w:b/>
          <w:szCs w:val="20"/>
        </w:rPr>
        <w:tab/>
      </w:r>
      <w:r w:rsidR="00AA1903" w:rsidRPr="00E54204">
        <w:rPr>
          <w:rFonts w:cs="Times New Roman"/>
          <w:b/>
          <w:i/>
          <w:szCs w:val="20"/>
        </w:rPr>
        <w:t>The Significance of Miracles in Talmudic Judaism</w:t>
      </w:r>
      <w:r w:rsidR="00AA1903" w:rsidRPr="00E54204">
        <w:rPr>
          <w:rFonts w:cs="Times New Roman"/>
          <w:b/>
          <w:szCs w:val="20"/>
        </w:rPr>
        <w:t xml:space="preserve"> by Alexander Guttmann (1947)</w:t>
      </w:r>
    </w:p>
    <w:p w14:paraId="5D2684C3" w14:textId="77777777" w:rsidR="007A21CE" w:rsidRPr="00E54204" w:rsidRDefault="00AA1903" w:rsidP="00AA1903">
      <w:pPr>
        <w:spacing w:after="160"/>
        <w:rPr>
          <w:rFonts w:cs="Times New Roman"/>
          <w:szCs w:val="20"/>
        </w:rPr>
      </w:pPr>
      <w:r w:rsidRPr="00E54204">
        <w:rPr>
          <w:rFonts w:cs="Times New Roman"/>
          <w:b/>
          <w:szCs w:val="20"/>
        </w:rPr>
        <w:tab/>
      </w:r>
      <w:r w:rsidRPr="00E54204">
        <w:rPr>
          <w:rFonts w:cs="Times New Roman"/>
          <w:szCs w:val="20"/>
        </w:rPr>
        <w:t>Alexander Guttman</w:t>
      </w:r>
      <w:r w:rsidR="002B59CF" w:rsidRPr="00E54204">
        <w:rPr>
          <w:rFonts w:cs="Times New Roman"/>
          <w:szCs w:val="20"/>
        </w:rPr>
        <w:t>n</w:t>
      </w:r>
      <w:r w:rsidRPr="00E54204">
        <w:rPr>
          <w:rFonts w:cs="Times New Roman"/>
          <w:szCs w:val="20"/>
        </w:rPr>
        <w:t xml:space="preserve">, in </w:t>
      </w:r>
      <w:r w:rsidRPr="00E54204">
        <w:rPr>
          <w:rFonts w:cs="Times New Roman"/>
          <w:i/>
          <w:szCs w:val="20"/>
        </w:rPr>
        <w:t>The Significance of Miracles in Talmudic Judaism</w:t>
      </w:r>
      <w:r w:rsidR="001B3CA4" w:rsidRPr="00E54204">
        <w:rPr>
          <w:rFonts w:cs="Times New Roman"/>
          <w:szCs w:val="20"/>
        </w:rPr>
        <w:t>, made intriguing</w:t>
      </w:r>
      <w:r w:rsidRPr="00E54204">
        <w:rPr>
          <w:rFonts w:cs="Times New Roman"/>
          <w:szCs w:val="20"/>
        </w:rPr>
        <w:t xml:space="preserve"> remarks concerning the </w:t>
      </w:r>
      <w:r w:rsidRPr="00E54204">
        <w:rPr>
          <w:rFonts w:cs="Times New Roman"/>
          <w:i/>
          <w:szCs w:val="20"/>
        </w:rPr>
        <w:t>bat kol</w:t>
      </w:r>
      <w:r w:rsidRPr="00E54204">
        <w:rPr>
          <w:rFonts w:cs="Times New Roman"/>
          <w:szCs w:val="20"/>
        </w:rPr>
        <w:t xml:space="preserve">.  In particular, his views are concerned with the possible range of meanings that may have been ascribed by the rabbis in light of nascent, first-century Christianity.  He ascribes to “the voice” a </w:t>
      </w:r>
      <w:r w:rsidR="004B512C" w:rsidRPr="00E54204">
        <w:rPr>
          <w:rFonts w:cs="Times New Roman"/>
          <w:i/>
          <w:szCs w:val="20"/>
        </w:rPr>
        <w:t>Halac</w:t>
      </w:r>
      <w:r w:rsidRPr="00E54204">
        <w:rPr>
          <w:rFonts w:cs="Times New Roman"/>
          <w:i/>
          <w:szCs w:val="20"/>
        </w:rPr>
        <w:t xml:space="preserve">hic </w:t>
      </w:r>
      <w:r w:rsidRPr="00E54204">
        <w:rPr>
          <w:rFonts w:cs="Times New Roman"/>
          <w:szCs w:val="20"/>
        </w:rPr>
        <w:t xml:space="preserve">function.  Thus, </w:t>
      </w:r>
      <w:r w:rsidR="008C6F3F" w:rsidRPr="00E54204">
        <w:rPr>
          <w:rFonts w:cs="Times New Roman"/>
          <w:szCs w:val="20"/>
        </w:rPr>
        <w:t xml:space="preserve">in the prolonged stalemate between the two </w:t>
      </w:r>
      <w:r w:rsidRPr="00E54204">
        <w:rPr>
          <w:rFonts w:cs="Times New Roman"/>
          <w:szCs w:val="20"/>
        </w:rPr>
        <w:t>schools of Hillel and Shammai,</w:t>
      </w:r>
      <w:r w:rsidRPr="00E54204">
        <w:rPr>
          <w:rFonts w:cs="Times New Roman"/>
          <w:szCs w:val="20"/>
          <w:vertAlign w:val="superscript"/>
        </w:rPr>
        <w:footnoteReference w:id="55"/>
      </w:r>
      <w:r w:rsidRPr="00E54204">
        <w:rPr>
          <w:rFonts w:cs="Times New Roman"/>
          <w:szCs w:val="20"/>
        </w:rPr>
        <w:t xml:space="preserve"> the </w:t>
      </w:r>
      <w:r w:rsidRPr="00E54204">
        <w:rPr>
          <w:rFonts w:cs="Times New Roman"/>
          <w:i/>
          <w:szCs w:val="20"/>
        </w:rPr>
        <w:t xml:space="preserve">bat kol </w:t>
      </w:r>
      <w:r w:rsidR="008C6F3F" w:rsidRPr="00E54204">
        <w:rPr>
          <w:rFonts w:cs="Times New Roman"/>
          <w:szCs w:val="20"/>
        </w:rPr>
        <w:t>chimed</w:t>
      </w:r>
      <w:r w:rsidRPr="00E54204">
        <w:rPr>
          <w:rFonts w:cs="Times New Roman"/>
          <w:szCs w:val="20"/>
        </w:rPr>
        <w:t xml:space="preserve"> in to e</w:t>
      </w:r>
      <w:r w:rsidR="00E8798B" w:rsidRPr="00E54204">
        <w:rPr>
          <w:rFonts w:cs="Times New Roman"/>
          <w:szCs w:val="20"/>
        </w:rPr>
        <w:t>ndorse the school of Hillel</w:t>
      </w:r>
      <w:r w:rsidR="00D57F32" w:rsidRPr="00E54204">
        <w:rPr>
          <w:rFonts w:cs="Times New Roman"/>
          <w:szCs w:val="20"/>
        </w:rPr>
        <w:t xml:space="preserve"> and the </w:t>
      </w:r>
      <w:r w:rsidRPr="00E54204">
        <w:rPr>
          <w:rFonts w:cs="Times New Roman"/>
          <w:szCs w:val="20"/>
        </w:rPr>
        <w:t>sages</w:t>
      </w:r>
      <w:r w:rsidR="00D57F32" w:rsidRPr="00E54204">
        <w:rPr>
          <w:rFonts w:cs="Times New Roman"/>
          <w:szCs w:val="20"/>
        </w:rPr>
        <w:t xml:space="preserve"> did not object</w:t>
      </w:r>
      <w:r w:rsidRPr="00E54204">
        <w:rPr>
          <w:rFonts w:cs="Times New Roman"/>
          <w:szCs w:val="20"/>
        </w:rPr>
        <w:t>.</w:t>
      </w:r>
      <w:r w:rsidRPr="00E54204">
        <w:rPr>
          <w:rFonts w:cs="Times New Roman"/>
          <w:szCs w:val="20"/>
          <w:vertAlign w:val="superscript"/>
        </w:rPr>
        <w:footnoteReference w:id="56"/>
      </w:r>
      <w:r w:rsidRPr="00E54204">
        <w:rPr>
          <w:rFonts w:cs="Times New Roman"/>
          <w:szCs w:val="20"/>
        </w:rPr>
        <w:t xml:space="preserve">  In addition,</w:t>
      </w:r>
      <w:r w:rsidR="00D57F32" w:rsidRPr="00E54204">
        <w:rPr>
          <w:rFonts w:cs="Times New Roman"/>
          <w:szCs w:val="20"/>
        </w:rPr>
        <w:t xml:space="preserve"> the rabbis</w:t>
      </w:r>
      <w:r w:rsidR="00CF5555" w:rsidRPr="00E54204">
        <w:rPr>
          <w:rFonts w:cs="Times New Roman"/>
          <w:szCs w:val="20"/>
        </w:rPr>
        <w:t xml:space="preserve"> accepted</w:t>
      </w:r>
      <w:r w:rsidR="00D57F32" w:rsidRPr="00E54204">
        <w:rPr>
          <w:rFonts w:cs="Times New Roman"/>
          <w:szCs w:val="20"/>
        </w:rPr>
        <w:t xml:space="preserve"> </w:t>
      </w:r>
      <w:r w:rsidRPr="00E54204">
        <w:rPr>
          <w:rFonts w:cs="Times New Roman"/>
          <w:szCs w:val="20"/>
        </w:rPr>
        <w:t xml:space="preserve">the </w:t>
      </w:r>
      <w:r w:rsidRPr="00E54204">
        <w:rPr>
          <w:rFonts w:cs="Times New Roman"/>
          <w:i/>
          <w:szCs w:val="20"/>
        </w:rPr>
        <w:t>bat kol</w:t>
      </w:r>
      <w:r w:rsidR="00363960" w:rsidRPr="00E54204">
        <w:rPr>
          <w:rFonts w:cs="Times New Roman"/>
          <w:szCs w:val="20"/>
        </w:rPr>
        <w:t>’s</w:t>
      </w:r>
      <w:r w:rsidR="00D57F32" w:rsidRPr="00E54204">
        <w:rPr>
          <w:rFonts w:cs="Times New Roman"/>
          <w:i/>
          <w:szCs w:val="20"/>
        </w:rPr>
        <w:t xml:space="preserve"> </w:t>
      </w:r>
      <w:r w:rsidRPr="00E54204">
        <w:rPr>
          <w:rFonts w:cs="Times New Roman"/>
          <w:szCs w:val="20"/>
        </w:rPr>
        <w:t>author</w:t>
      </w:r>
      <w:r w:rsidR="00E8798B" w:rsidRPr="00E54204">
        <w:rPr>
          <w:rFonts w:cs="Times New Roman"/>
          <w:szCs w:val="20"/>
        </w:rPr>
        <w:t>ity</w:t>
      </w:r>
      <w:r w:rsidR="00D57F32" w:rsidRPr="00E54204">
        <w:rPr>
          <w:rFonts w:cs="Times New Roman"/>
          <w:szCs w:val="20"/>
        </w:rPr>
        <w:t xml:space="preserve"> if it announced that a man </w:t>
      </w:r>
      <w:r w:rsidRPr="00E54204">
        <w:rPr>
          <w:rFonts w:cs="Times New Roman"/>
          <w:szCs w:val="20"/>
        </w:rPr>
        <w:t>had died</w:t>
      </w:r>
      <w:r w:rsidR="00D57F32" w:rsidRPr="00E54204">
        <w:rPr>
          <w:rFonts w:cs="Times New Roman"/>
          <w:szCs w:val="20"/>
        </w:rPr>
        <w:t xml:space="preserve"> allowing his wife to subsequently remarry</w:t>
      </w:r>
      <w:r w:rsidRPr="00E54204">
        <w:rPr>
          <w:rFonts w:cs="Times New Roman"/>
          <w:szCs w:val="20"/>
        </w:rPr>
        <w:t>; the ann</w:t>
      </w:r>
      <w:r w:rsidR="00E8798B" w:rsidRPr="00E54204">
        <w:rPr>
          <w:rFonts w:cs="Times New Roman"/>
          <w:szCs w:val="20"/>
        </w:rPr>
        <w:t>ouncement stood even though the</w:t>
      </w:r>
      <w:r w:rsidRPr="00E54204">
        <w:rPr>
          <w:rFonts w:cs="Times New Roman"/>
          <w:szCs w:val="20"/>
        </w:rPr>
        <w:t xml:space="preserve"> body of the </w:t>
      </w:r>
      <w:r w:rsidR="00D57F32" w:rsidRPr="00E54204">
        <w:rPr>
          <w:rFonts w:cs="Times New Roman"/>
          <w:szCs w:val="20"/>
        </w:rPr>
        <w:t xml:space="preserve">deceased was </w:t>
      </w:r>
      <w:r w:rsidR="00E8798B" w:rsidRPr="00E54204">
        <w:rPr>
          <w:rFonts w:cs="Times New Roman"/>
          <w:szCs w:val="20"/>
        </w:rPr>
        <w:t>unfound</w:t>
      </w:r>
      <w:r w:rsidRPr="00E54204">
        <w:rPr>
          <w:rFonts w:cs="Times New Roman"/>
          <w:szCs w:val="20"/>
        </w:rPr>
        <w:t>.</w:t>
      </w:r>
      <w:r w:rsidRPr="00E54204">
        <w:rPr>
          <w:rFonts w:cs="Times New Roman"/>
          <w:szCs w:val="20"/>
          <w:vertAlign w:val="superscript"/>
        </w:rPr>
        <w:footnoteReference w:id="57"/>
      </w:r>
    </w:p>
    <w:p w14:paraId="29C0240D" w14:textId="77777777" w:rsidR="00AA1903" w:rsidRPr="00E54204" w:rsidRDefault="00AA1903" w:rsidP="007A21CE">
      <w:pPr>
        <w:spacing w:after="160"/>
        <w:ind w:firstLine="720"/>
        <w:rPr>
          <w:rFonts w:cs="Times New Roman"/>
          <w:szCs w:val="20"/>
        </w:rPr>
      </w:pPr>
      <w:r w:rsidRPr="00E54204">
        <w:rPr>
          <w:rFonts w:cs="Times New Roman"/>
          <w:szCs w:val="20"/>
        </w:rPr>
        <w:t>However, in another (and Guttmann argues historically later</w:t>
      </w:r>
      <w:r w:rsidR="001B3CA4" w:rsidRPr="00E54204">
        <w:rPr>
          <w:rFonts w:cs="Times New Roman"/>
          <w:szCs w:val="20"/>
        </w:rPr>
        <w:t>) episode</w:t>
      </w:r>
      <w:r w:rsidRPr="00E54204">
        <w:rPr>
          <w:rFonts w:cs="Times New Roman"/>
          <w:szCs w:val="20"/>
        </w:rPr>
        <w:t xml:space="preserve"> the intervention of the </w:t>
      </w:r>
      <w:r w:rsidRPr="00E54204">
        <w:rPr>
          <w:rFonts w:cs="Times New Roman"/>
          <w:i/>
          <w:szCs w:val="20"/>
        </w:rPr>
        <w:t>bat kol</w:t>
      </w:r>
      <w:r w:rsidRPr="00E54204">
        <w:rPr>
          <w:rFonts w:cs="Times New Roman"/>
          <w:szCs w:val="20"/>
        </w:rPr>
        <w:t xml:space="preserve"> on behalf of R.(rabbi) Eliezer ben Hyrcanus was of no avail in persuading his peers that the law should be in accordance with his understanding.  Rather, R. Joshua (who was R. Eliezer’s d</w:t>
      </w:r>
      <w:r w:rsidR="00897B49" w:rsidRPr="00E54204">
        <w:rPr>
          <w:rFonts w:cs="Times New Roman"/>
          <w:szCs w:val="20"/>
        </w:rPr>
        <w:t xml:space="preserve">ebate partner) adamantly opposed this phenomenon </w:t>
      </w:r>
      <w:r w:rsidRPr="00E54204">
        <w:rPr>
          <w:rFonts w:cs="Times New Roman"/>
          <w:szCs w:val="20"/>
        </w:rPr>
        <w:t>stating that they do not pay heed to voices from heaven, essentially arguing that God himself had delegated such authority to the sages.</w:t>
      </w:r>
      <w:r w:rsidRPr="00E54204">
        <w:rPr>
          <w:rFonts w:cs="Times New Roman"/>
          <w:szCs w:val="20"/>
          <w:vertAlign w:val="superscript"/>
        </w:rPr>
        <w:footnoteReference w:id="58"/>
      </w:r>
      <w:r w:rsidRPr="00E54204">
        <w:rPr>
          <w:rFonts w:cs="Times New Roman"/>
          <w:szCs w:val="20"/>
        </w:rPr>
        <w:t xml:space="preserve">  Guttmann interprets these two very </w:t>
      </w:r>
      <w:r w:rsidRPr="00E54204">
        <w:rPr>
          <w:rFonts w:cs="Times New Roman"/>
          <w:szCs w:val="20"/>
        </w:rPr>
        <w:lastRenderedPageBreak/>
        <w:t>opposite results as historical reacti</w:t>
      </w:r>
      <w:r w:rsidR="00897B49" w:rsidRPr="00E54204">
        <w:rPr>
          <w:rFonts w:cs="Times New Roman"/>
          <w:szCs w:val="20"/>
        </w:rPr>
        <w:t>ons to</w:t>
      </w:r>
      <w:r w:rsidR="00E8798B" w:rsidRPr="00E54204">
        <w:rPr>
          <w:rFonts w:cs="Times New Roman"/>
          <w:szCs w:val="20"/>
        </w:rPr>
        <w:t xml:space="preserve"> burgeoning early Christianity</w:t>
      </w:r>
      <w:r w:rsidRPr="00E54204">
        <w:rPr>
          <w:rFonts w:cs="Times New Roman"/>
          <w:szCs w:val="20"/>
        </w:rPr>
        <w:t>.  Hence, the controversy surrounding the two Pharisaical schools was at a time when Christianity was not perceived as a viable threat to the Judaism of the Pharisees/rabbis.  However,</w:t>
      </w:r>
      <w:r w:rsidR="00E8798B" w:rsidRPr="00E54204">
        <w:rPr>
          <w:rFonts w:cs="Times New Roman"/>
          <w:szCs w:val="20"/>
        </w:rPr>
        <w:t xml:space="preserve"> Guttman</w:t>
      </w:r>
      <w:r w:rsidR="002B59CF" w:rsidRPr="00E54204">
        <w:rPr>
          <w:rFonts w:cs="Times New Roman"/>
          <w:szCs w:val="20"/>
        </w:rPr>
        <w:t>n</w:t>
      </w:r>
      <w:r w:rsidR="00E8798B" w:rsidRPr="00E54204">
        <w:rPr>
          <w:rFonts w:cs="Times New Roman"/>
          <w:szCs w:val="20"/>
        </w:rPr>
        <w:t xml:space="preserve"> posits that after 90 CE</w:t>
      </w:r>
      <w:r w:rsidRPr="00E54204">
        <w:rPr>
          <w:rFonts w:cs="Times New Roman"/>
          <w:szCs w:val="20"/>
          <w:vertAlign w:val="superscript"/>
        </w:rPr>
        <w:footnoteReference w:id="59"/>
      </w:r>
      <w:r w:rsidR="00E8798B" w:rsidRPr="00E54204">
        <w:rPr>
          <w:rFonts w:cs="Times New Roman"/>
          <w:szCs w:val="20"/>
        </w:rPr>
        <w:t xml:space="preserve"> </w:t>
      </w:r>
      <w:r w:rsidRPr="00E54204">
        <w:rPr>
          <w:rFonts w:cs="Times New Roman"/>
          <w:szCs w:val="20"/>
        </w:rPr>
        <w:t>Christianity’s claims of revelation were known to the sages and that this ruling may be i</w:t>
      </w:r>
      <w:r w:rsidR="003B272D" w:rsidRPr="00E54204">
        <w:rPr>
          <w:rFonts w:cs="Times New Roman"/>
          <w:szCs w:val="20"/>
        </w:rPr>
        <w:t xml:space="preserve">nterpreted as an attempt </w:t>
      </w:r>
      <w:r w:rsidRPr="00E54204">
        <w:rPr>
          <w:rFonts w:cs="Times New Roman"/>
          <w:szCs w:val="20"/>
        </w:rPr>
        <w:t>of the sages to stifle any influence reminiscent of Christianity upon their movement.</w:t>
      </w:r>
      <w:r w:rsidRPr="00E54204">
        <w:rPr>
          <w:rFonts w:cs="Times New Roman"/>
          <w:szCs w:val="20"/>
          <w:vertAlign w:val="superscript"/>
        </w:rPr>
        <w:footnoteReference w:id="60"/>
      </w:r>
      <w:r w:rsidRPr="00E54204">
        <w:rPr>
          <w:rFonts w:cs="Times New Roman"/>
          <w:szCs w:val="20"/>
        </w:rPr>
        <w:t xml:space="preserve">  Thus, he proposes that the quality of the </w:t>
      </w:r>
      <w:r w:rsidRPr="00E54204">
        <w:rPr>
          <w:rFonts w:cs="Times New Roman"/>
          <w:i/>
          <w:szCs w:val="20"/>
        </w:rPr>
        <w:t>bat kol</w:t>
      </w:r>
      <w:r w:rsidRPr="00E54204">
        <w:rPr>
          <w:rFonts w:cs="Times New Roman"/>
          <w:szCs w:val="20"/>
        </w:rPr>
        <w:t xml:space="preserve"> devol</w:t>
      </w:r>
      <w:r w:rsidR="003B272D" w:rsidRPr="00E54204">
        <w:rPr>
          <w:rFonts w:cs="Times New Roman"/>
          <w:szCs w:val="20"/>
        </w:rPr>
        <w:t>ved from a miraculous sign to</w:t>
      </w:r>
      <w:r w:rsidRPr="00E54204">
        <w:rPr>
          <w:rFonts w:cs="Times New Roman"/>
          <w:szCs w:val="20"/>
        </w:rPr>
        <w:t xml:space="preserve"> a voice bursting out from amongst a crowd.</w:t>
      </w:r>
      <w:r w:rsidRPr="00E54204">
        <w:rPr>
          <w:rFonts w:cs="Times New Roman"/>
          <w:szCs w:val="20"/>
          <w:vertAlign w:val="superscript"/>
        </w:rPr>
        <w:footnoteReference w:id="61"/>
      </w:r>
    </w:p>
    <w:p w14:paraId="4B33E030" w14:textId="77777777" w:rsidR="00AA1903" w:rsidRPr="00E54204" w:rsidRDefault="006F0CA0" w:rsidP="00AA1903">
      <w:pPr>
        <w:spacing w:after="160"/>
        <w:rPr>
          <w:rFonts w:cs="Times New Roman"/>
          <w:b/>
          <w:szCs w:val="20"/>
        </w:rPr>
      </w:pPr>
      <w:r w:rsidRPr="00E54204">
        <w:rPr>
          <w:rFonts w:cs="Times New Roman"/>
          <w:b/>
          <w:szCs w:val="20"/>
        </w:rPr>
        <w:t>VIII.</w:t>
      </w:r>
      <w:r w:rsidRPr="00E54204">
        <w:rPr>
          <w:rFonts w:cs="Times New Roman"/>
          <w:b/>
          <w:szCs w:val="20"/>
        </w:rPr>
        <w:tab/>
      </w:r>
      <w:r w:rsidR="00AA1903" w:rsidRPr="00E54204">
        <w:rPr>
          <w:rFonts w:cs="Times New Roman"/>
          <w:b/>
          <w:i/>
          <w:szCs w:val="20"/>
        </w:rPr>
        <w:t>Studies in Jewish Theology</w:t>
      </w:r>
      <w:r w:rsidR="00AA1903" w:rsidRPr="00E54204">
        <w:rPr>
          <w:rFonts w:cs="Times New Roman"/>
          <w:b/>
          <w:szCs w:val="20"/>
        </w:rPr>
        <w:t xml:space="preserve"> by Arthur Marmorstein (1950)</w:t>
      </w:r>
    </w:p>
    <w:p w14:paraId="202C66A2" w14:textId="77777777" w:rsidR="00AA1903" w:rsidRPr="00E54204" w:rsidRDefault="00AA1903" w:rsidP="007A21CE">
      <w:pPr>
        <w:spacing w:before="240" w:after="160"/>
        <w:ind w:firstLine="720"/>
        <w:rPr>
          <w:rFonts w:cs="Times New Roman"/>
          <w:szCs w:val="20"/>
        </w:rPr>
      </w:pPr>
      <w:r w:rsidRPr="00E54204">
        <w:rPr>
          <w:rFonts w:cs="Times New Roman"/>
          <w:szCs w:val="20"/>
        </w:rPr>
        <w:t xml:space="preserve">Arthur Marmorstein, wrote on the “voice from heaven” in his work, </w:t>
      </w:r>
      <w:r w:rsidRPr="00E54204">
        <w:rPr>
          <w:rFonts w:cs="Times New Roman"/>
          <w:i/>
          <w:szCs w:val="20"/>
        </w:rPr>
        <w:t>Studies in Jewish Theology</w:t>
      </w:r>
      <w:r w:rsidRPr="00E54204">
        <w:rPr>
          <w:rFonts w:cs="Times New Roman"/>
          <w:szCs w:val="20"/>
        </w:rPr>
        <w:t xml:space="preserve">.  He understands the “voice” as an integral part of the legendary (i.e., </w:t>
      </w:r>
      <w:r w:rsidR="008F19DC" w:rsidRPr="00E54204">
        <w:rPr>
          <w:rFonts w:cs="Times New Roman"/>
          <w:i/>
          <w:szCs w:val="20"/>
        </w:rPr>
        <w:t>H</w:t>
      </w:r>
      <w:r w:rsidRPr="00E54204">
        <w:rPr>
          <w:rFonts w:cs="Times New Roman"/>
          <w:i/>
          <w:szCs w:val="20"/>
        </w:rPr>
        <w:t>aggadic</w:t>
      </w:r>
      <w:r w:rsidRPr="00E54204">
        <w:rPr>
          <w:rFonts w:cs="Times New Roman"/>
          <w:szCs w:val="20"/>
        </w:rPr>
        <w:t>) material of rabbin</w:t>
      </w:r>
      <w:r w:rsidR="00CF5555" w:rsidRPr="00E54204">
        <w:rPr>
          <w:rFonts w:cs="Times New Roman"/>
          <w:szCs w:val="20"/>
        </w:rPr>
        <w:t>ic writings that typically cite</w:t>
      </w:r>
      <w:r w:rsidRPr="00E54204">
        <w:rPr>
          <w:rFonts w:cs="Times New Roman"/>
          <w:szCs w:val="20"/>
        </w:rPr>
        <w:t xml:space="preserve"> Biblical phrases when it appears.</w:t>
      </w:r>
      <w:r w:rsidRPr="00E54204">
        <w:rPr>
          <w:rFonts w:cs="Times New Roman"/>
          <w:szCs w:val="20"/>
          <w:vertAlign w:val="superscript"/>
        </w:rPr>
        <w:footnoteReference w:id="62"/>
      </w:r>
      <w:r w:rsidR="00F25689" w:rsidRPr="00E54204">
        <w:rPr>
          <w:rFonts w:cs="Times New Roman"/>
          <w:szCs w:val="20"/>
        </w:rPr>
        <w:t xml:space="preserve">  For </w:t>
      </w:r>
      <w:r w:rsidRPr="00E54204">
        <w:rPr>
          <w:rFonts w:cs="Times New Roman"/>
          <w:szCs w:val="20"/>
        </w:rPr>
        <w:t xml:space="preserve">Marmorstein, the </w:t>
      </w:r>
      <w:r w:rsidRPr="00E54204">
        <w:rPr>
          <w:rFonts w:cs="Times New Roman"/>
          <w:i/>
          <w:szCs w:val="20"/>
        </w:rPr>
        <w:t>Haggadists</w:t>
      </w:r>
      <w:r w:rsidRPr="00E54204">
        <w:rPr>
          <w:rFonts w:cs="Times New Roman"/>
          <w:szCs w:val="20"/>
        </w:rPr>
        <w:t xml:space="preserve">, usually project conditions of their own time in to the Biblical era, thus what the “voices from heaven” are to have declared in Biblical </w:t>
      </w:r>
      <w:r w:rsidRPr="00E54204">
        <w:rPr>
          <w:rFonts w:cs="Times New Roman"/>
          <w:szCs w:val="20"/>
        </w:rPr>
        <w:lastRenderedPageBreak/>
        <w:t>stories, serves an important didactic purpose for Jews in antiquity.</w:t>
      </w:r>
      <w:r w:rsidRPr="00E54204">
        <w:rPr>
          <w:rFonts w:cs="Times New Roman"/>
          <w:szCs w:val="20"/>
          <w:vertAlign w:val="superscript"/>
        </w:rPr>
        <w:footnoteReference w:id="63"/>
      </w:r>
      <w:r w:rsidR="00F25689" w:rsidRPr="00E54204">
        <w:rPr>
          <w:rFonts w:cs="Times New Roman"/>
          <w:szCs w:val="20"/>
        </w:rPr>
        <w:t xml:space="preserve">  </w:t>
      </w:r>
      <w:r w:rsidRPr="00E54204">
        <w:rPr>
          <w:rFonts w:cs="Times New Roman"/>
          <w:szCs w:val="20"/>
        </w:rPr>
        <w:t xml:space="preserve">Furthermore, he underscores the importance attributed to the </w:t>
      </w:r>
      <w:r w:rsidRPr="00E54204">
        <w:rPr>
          <w:rFonts w:cs="Times New Roman"/>
          <w:i/>
          <w:szCs w:val="20"/>
        </w:rPr>
        <w:t>bat kol</w:t>
      </w:r>
      <w:r w:rsidRPr="00E54204">
        <w:rPr>
          <w:rFonts w:cs="Times New Roman"/>
          <w:szCs w:val="20"/>
        </w:rPr>
        <w:t xml:space="preserve"> by the fact that Babylonian teachers divided their material into periods before and after its manifestations.</w:t>
      </w:r>
      <w:r w:rsidRPr="00E54204">
        <w:rPr>
          <w:rFonts w:cs="Times New Roman"/>
          <w:szCs w:val="20"/>
          <w:vertAlign w:val="superscript"/>
        </w:rPr>
        <w:footnoteReference w:id="64"/>
      </w:r>
      <w:r w:rsidRPr="00E54204">
        <w:rPr>
          <w:rFonts w:cs="Times New Roman"/>
          <w:szCs w:val="20"/>
        </w:rPr>
        <w:t xml:space="preserve">  As a result we are afforded a multifaceted view of Judaism as one not solely embracing legal acuity and piety but also mystical ma</w:t>
      </w:r>
      <w:r w:rsidR="002D038D" w:rsidRPr="00E54204">
        <w:rPr>
          <w:rFonts w:cs="Times New Roman"/>
          <w:szCs w:val="20"/>
        </w:rPr>
        <w:t>nifestations of the divine as integral to</w:t>
      </w:r>
      <w:r w:rsidRPr="00E54204">
        <w:rPr>
          <w:rFonts w:cs="Times New Roman"/>
          <w:szCs w:val="20"/>
        </w:rPr>
        <w:t xml:space="preserve"> religious life.  Therefore, Marmorstein interprets its function as uniting t</w:t>
      </w:r>
      <w:r w:rsidR="002D038D" w:rsidRPr="00E54204">
        <w:rPr>
          <w:rFonts w:cs="Times New Roman"/>
          <w:szCs w:val="20"/>
        </w:rPr>
        <w:t>wo important aspects of Judaism:</w:t>
      </w:r>
      <w:r w:rsidRPr="00E54204">
        <w:rPr>
          <w:rFonts w:cs="Times New Roman"/>
          <w:szCs w:val="20"/>
        </w:rPr>
        <w:t xml:space="preserve"> its law-orientated emphase</w:t>
      </w:r>
      <w:r w:rsidR="00FA0655" w:rsidRPr="00E54204">
        <w:rPr>
          <w:rFonts w:cs="Times New Roman"/>
          <w:szCs w:val="20"/>
        </w:rPr>
        <w:t>s and God’s immanent presence.</w:t>
      </w:r>
    </w:p>
    <w:p w14:paraId="626A1C7B" w14:textId="77777777" w:rsidR="00CB0865" w:rsidRPr="00E54204" w:rsidRDefault="00AA1903" w:rsidP="00CB0865">
      <w:pPr>
        <w:ind w:firstLine="720"/>
        <w:rPr>
          <w:rFonts w:cs="Times New Roman"/>
          <w:szCs w:val="20"/>
        </w:rPr>
      </w:pPr>
      <w:r w:rsidRPr="00E54204">
        <w:rPr>
          <w:rFonts w:cs="Times New Roman"/>
          <w:szCs w:val="20"/>
        </w:rPr>
        <w:t xml:space="preserve">Marmorstein makes two general comments in regards to the </w:t>
      </w:r>
      <w:r w:rsidRPr="00E54204">
        <w:rPr>
          <w:rFonts w:cs="Times New Roman"/>
          <w:i/>
          <w:szCs w:val="20"/>
        </w:rPr>
        <w:t>bat kol</w:t>
      </w:r>
      <w:r w:rsidR="001B3CA4" w:rsidRPr="00E54204">
        <w:rPr>
          <w:rFonts w:cs="Times New Roman"/>
          <w:szCs w:val="20"/>
        </w:rPr>
        <w:t>: it intervened</w:t>
      </w:r>
      <w:r w:rsidRPr="00E54204">
        <w:rPr>
          <w:rFonts w:cs="Times New Roman"/>
          <w:szCs w:val="20"/>
        </w:rPr>
        <w:t xml:space="preserve"> in learned subjects or practical matters, not just to predict future events or statuses, and </w:t>
      </w:r>
      <w:r w:rsidR="00D43DA7" w:rsidRPr="00E54204">
        <w:rPr>
          <w:rFonts w:cs="Times New Roman"/>
          <w:szCs w:val="20"/>
        </w:rPr>
        <w:t>there were some who deemed its revelations</w:t>
      </w:r>
      <w:r w:rsidRPr="00E54204">
        <w:rPr>
          <w:rFonts w:cs="Times New Roman"/>
          <w:szCs w:val="20"/>
        </w:rPr>
        <w:t xml:space="preserve"> as invalid and non-authoritative.</w:t>
      </w:r>
      <w:r w:rsidRPr="00E54204">
        <w:rPr>
          <w:rFonts w:cs="Times New Roman"/>
          <w:szCs w:val="20"/>
          <w:vertAlign w:val="superscript"/>
        </w:rPr>
        <w:footnoteReference w:id="65"/>
      </w:r>
      <w:r w:rsidRPr="00E54204">
        <w:rPr>
          <w:rFonts w:cs="Times New Roman"/>
          <w:szCs w:val="20"/>
        </w:rPr>
        <w:t xml:space="preserve">  One final observation he puts forth is its usage as an agent of comfort for martyrs.  Often these stories include the reassurance that they or the person who just died, had merited entry into eternal life</w:t>
      </w:r>
      <w:r w:rsidR="00637C0D" w:rsidRPr="00E54204">
        <w:rPr>
          <w:rFonts w:cs="Times New Roman"/>
          <w:szCs w:val="20"/>
        </w:rPr>
        <w:t xml:space="preserve"> (i.e., “world to come”)</w:t>
      </w:r>
      <w:r w:rsidRPr="00E54204">
        <w:rPr>
          <w:rFonts w:cs="Times New Roman"/>
          <w:szCs w:val="20"/>
        </w:rPr>
        <w:t>.</w:t>
      </w:r>
      <w:r w:rsidRPr="00E54204">
        <w:rPr>
          <w:rFonts w:cs="Times New Roman"/>
          <w:szCs w:val="20"/>
          <w:vertAlign w:val="superscript"/>
        </w:rPr>
        <w:footnoteReference w:id="66"/>
      </w:r>
    </w:p>
    <w:p w14:paraId="1BD38D67" w14:textId="77777777" w:rsidR="00CB0865" w:rsidRPr="00E54204" w:rsidRDefault="00CB0865" w:rsidP="00CB0865">
      <w:pPr>
        <w:spacing w:line="240" w:lineRule="auto"/>
        <w:rPr>
          <w:rFonts w:cs="Times New Roman"/>
          <w:b/>
          <w:szCs w:val="20"/>
        </w:rPr>
      </w:pPr>
      <w:r w:rsidRPr="00E54204">
        <w:rPr>
          <w:rFonts w:cs="Times New Roman"/>
          <w:b/>
          <w:szCs w:val="20"/>
        </w:rPr>
        <w:t>IX.</w:t>
      </w:r>
      <w:r w:rsidRPr="00E54204">
        <w:rPr>
          <w:rFonts w:cs="Times New Roman"/>
          <w:b/>
          <w:szCs w:val="20"/>
        </w:rPr>
        <w:tab/>
      </w:r>
      <w:r w:rsidR="00AA1903" w:rsidRPr="00E54204">
        <w:rPr>
          <w:rFonts w:cs="Times New Roman"/>
          <w:b/>
          <w:i/>
          <w:szCs w:val="20"/>
        </w:rPr>
        <w:t>Hellenism in Jewish Palestine</w:t>
      </w:r>
      <w:r w:rsidR="00AA1903" w:rsidRPr="00E54204">
        <w:rPr>
          <w:rFonts w:cs="Times New Roman"/>
          <w:b/>
          <w:szCs w:val="20"/>
        </w:rPr>
        <w:t xml:space="preserve"> by Saul Lieberman (1950)</w:t>
      </w:r>
      <w:r w:rsidR="006F0CA0" w:rsidRPr="00E54204">
        <w:rPr>
          <w:rFonts w:cs="Times New Roman"/>
          <w:b/>
          <w:szCs w:val="20"/>
        </w:rPr>
        <w:t xml:space="preserve">  </w:t>
      </w:r>
    </w:p>
    <w:p w14:paraId="1DE45F6B" w14:textId="77777777" w:rsidR="00CB0865" w:rsidRPr="00E54204" w:rsidRDefault="00CB0865" w:rsidP="00CB0865">
      <w:pPr>
        <w:tabs>
          <w:tab w:val="left" w:pos="6697"/>
        </w:tabs>
        <w:spacing w:line="240" w:lineRule="auto"/>
        <w:rPr>
          <w:rFonts w:cs="Times New Roman"/>
          <w:szCs w:val="20"/>
        </w:rPr>
      </w:pPr>
    </w:p>
    <w:p w14:paraId="5D2D4BC9" w14:textId="77777777" w:rsidR="00AA1903" w:rsidRPr="00E54204" w:rsidRDefault="002D038D" w:rsidP="00CB0865">
      <w:pPr>
        <w:tabs>
          <w:tab w:val="left" w:pos="6697"/>
        </w:tabs>
        <w:ind w:firstLine="720"/>
        <w:rPr>
          <w:rFonts w:cs="Times New Roman"/>
          <w:szCs w:val="20"/>
        </w:rPr>
      </w:pPr>
      <w:r w:rsidRPr="00E54204">
        <w:rPr>
          <w:rFonts w:cs="Times New Roman"/>
          <w:szCs w:val="20"/>
        </w:rPr>
        <w:t xml:space="preserve">The great Talmudist Saul Lieberman </w:t>
      </w:r>
      <w:r w:rsidR="00AA1903" w:rsidRPr="00E54204">
        <w:rPr>
          <w:rFonts w:cs="Times New Roman"/>
          <w:szCs w:val="20"/>
        </w:rPr>
        <w:t xml:space="preserve">wrote concerning the </w:t>
      </w:r>
      <w:r w:rsidR="00AA1903" w:rsidRPr="00E54204">
        <w:rPr>
          <w:rFonts w:cs="Times New Roman"/>
          <w:i/>
          <w:szCs w:val="20"/>
        </w:rPr>
        <w:t>bat kol</w:t>
      </w:r>
      <w:r w:rsidR="00AA1903" w:rsidRPr="00E54204">
        <w:rPr>
          <w:rFonts w:cs="Times New Roman"/>
          <w:szCs w:val="20"/>
        </w:rPr>
        <w:t xml:space="preserve"> that in the simplest sense it could be understood as an echo or reverberating sound.</w:t>
      </w:r>
      <w:r w:rsidR="00AA1903" w:rsidRPr="00E54204">
        <w:rPr>
          <w:rFonts w:cs="Times New Roman"/>
          <w:szCs w:val="20"/>
          <w:vertAlign w:val="superscript"/>
        </w:rPr>
        <w:footnoteReference w:id="67"/>
      </w:r>
      <w:r w:rsidR="00AA1903" w:rsidRPr="00E54204">
        <w:rPr>
          <w:rFonts w:cs="Times New Roman"/>
          <w:szCs w:val="20"/>
        </w:rPr>
        <w:t xml:space="preserve">  Furthermore </w:t>
      </w:r>
      <w:r w:rsidR="00AA1903" w:rsidRPr="00E54204">
        <w:rPr>
          <w:rFonts w:cs="Times New Roman"/>
          <w:szCs w:val="20"/>
        </w:rPr>
        <w:lastRenderedPageBreak/>
        <w:t>he understands the phrase, “they were wont to make use of the Holy Spirit or bat kol” as being awkward in Hebrew thus perhaps indicating it was translated from the Greek language.</w:t>
      </w:r>
      <w:r w:rsidR="00AA1903" w:rsidRPr="00E54204">
        <w:rPr>
          <w:rFonts w:cs="Times New Roman"/>
          <w:szCs w:val="20"/>
          <w:vertAlign w:val="superscript"/>
        </w:rPr>
        <w:footnoteReference w:id="68"/>
      </w:r>
      <w:r w:rsidRPr="00E54204">
        <w:rPr>
          <w:rFonts w:cs="Times New Roman"/>
          <w:szCs w:val="20"/>
        </w:rPr>
        <w:t xml:space="preserve">  He suggested</w:t>
      </w:r>
      <w:r w:rsidR="00AA1903" w:rsidRPr="00E54204">
        <w:rPr>
          <w:rFonts w:cs="Times New Roman"/>
          <w:szCs w:val="20"/>
        </w:rPr>
        <w:t xml:space="preserve"> that the phrase is better rendered, “to consult the </w:t>
      </w:r>
      <w:r w:rsidR="00FD1A92" w:rsidRPr="00E54204">
        <w:rPr>
          <w:rFonts w:cs="Times New Roman"/>
          <w:i/>
          <w:szCs w:val="20"/>
        </w:rPr>
        <w:t>bat k</w:t>
      </w:r>
      <w:r w:rsidR="00AA1903" w:rsidRPr="00E54204">
        <w:rPr>
          <w:rFonts w:cs="Times New Roman"/>
          <w:i/>
          <w:szCs w:val="20"/>
        </w:rPr>
        <w:t>ol</w:t>
      </w:r>
      <w:r w:rsidR="00AA1903" w:rsidRPr="00E54204">
        <w:rPr>
          <w:rFonts w:cs="Times New Roman"/>
          <w:szCs w:val="20"/>
        </w:rPr>
        <w:t>, to consult the Holy Spirit.”</w:t>
      </w:r>
      <w:r w:rsidR="00AA1903" w:rsidRPr="00E54204">
        <w:rPr>
          <w:rFonts w:cs="Times New Roman"/>
          <w:szCs w:val="20"/>
          <w:vertAlign w:val="superscript"/>
        </w:rPr>
        <w:footnoteReference w:id="69"/>
      </w:r>
      <w:r w:rsidR="00AA1903" w:rsidRPr="00E54204">
        <w:rPr>
          <w:rFonts w:cs="Times New Roman"/>
          <w:szCs w:val="20"/>
        </w:rPr>
        <w:t xml:space="preserve">  Prominent forms of consultation included listening for chance words that would provide some kind of insight, answer, or direction into a specific matter</w:t>
      </w:r>
      <w:r w:rsidR="00AA1903" w:rsidRPr="00E54204">
        <w:rPr>
          <w:rFonts w:cs="Times New Roman"/>
          <w:szCs w:val="20"/>
          <w:vertAlign w:val="superscript"/>
        </w:rPr>
        <w:footnoteReference w:id="70"/>
      </w:r>
      <w:r w:rsidR="00AA1903" w:rsidRPr="00E54204">
        <w:rPr>
          <w:rFonts w:cs="Times New Roman"/>
          <w:szCs w:val="20"/>
        </w:rPr>
        <w:t xml:space="preserve"> in addition to words of Scripture spoken by children.</w:t>
      </w:r>
      <w:r w:rsidR="00AA1903" w:rsidRPr="00E54204">
        <w:rPr>
          <w:rFonts w:cs="Times New Roman"/>
          <w:szCs w:val="20"/>
          <w:vertAlign w:val="superscript"/>
        </w:rPr>
        <w:footnoteReference w:id="71"/>
      </w:r>
      <w:r w:rsidR="00AA1903" w:rsidRPr="00E54204">
        <w:rPr>
          <w:rFonts w:cs="Times New Roman"/>
          <w:szCs w:val="20"/>
        </w:rPr>
        <w:t xml:space="preserve">  Lieberman demonstrates how these forms of “divination” were not unique to</w:t>
      </w:r>
      <w:r w:rsidRPr="00E54204">
        <w:rPr>
          <w:rFonts w:cs="Times New Roman"/>
          <w:szCs w:val="20"/>
        </w:rPr>
        <w:t xml:space="preserve"> the rabbis but were also used</w:t>
      </w:r>
      <w:r w:rsidR="00AA1903" w:rsidRPr="00E54204">
        <w:rPr>
          <w:rFonts w:cs="Times New Roman"/>
          <w:szCs w:val="20"/>
        </w:rPr>
        <w:t xml:space="preserve"> by the Egyptians and Greeks.</w:t>
      </w:r>
      <w:r w:rsidR="00AA1903" w:rsidRPr="00E54204">
        <w:rPr>
          <w:rFonts w:cs="Times New Roman"/>
          <w:szCs w:val="20"/>
          <w:vertAlign w:val="superscript"/>
        </w:rPr>
        <w:footnoteReference w:id="72"/>
      </w:r>
      <w:r w:rsidR="00AA1903" w:rsidRPr="00E54204">
        <w:rPr>
          <w:rFonts w:cs="Times New Roman"/>
          <w:szCs w:val="20"/>
        </w:rPr>
        <w:t xml:space="preserve">  However, where the rabbis differed, was in their emphasis on the unequivocal and candid nature of prophecy.</w:t>
      </w:r>
      <w:r w:rsidR="00AA1903" w:rsidRPr="00E54204">
        <w:rPr>
          <w:rFonts w:cs="Times New Roman"/>
          <w:szCs w:val="20"/>
          <w:vertAlign w:val="superscript"/>
        </w:rPr>
        <w:footnoteReference w:id="73"/>
      </w:r>
      <w:r w:rsidR="00AA1903" w:rsidRPr="00E54204">
        <w:rPr>
          <w:rFonts w:cs="Times New Roman"/>
          <w:szCs w:val="20"/>
        </w:rPr>
        <w:t xml:space="preserve">  In other words, they expected communication from God to be simple and straightforward.</w:t>
      </w:r>
      <w:r w:rsidR="00AA1903" w:rsidRPr="00E54204">
        <w:rPr>
          <w:rFonts w:cs="Times New Roman"/>
          <w:szCs w:val="20"/>
          <w:vertAlign w:val="superscript"/>
        </w:rPr>
        <w:footnoteReference w:id="74"/>
      </w:r>
      <w:r w:rsidR="00AA1903" w:rsidRPr="00E54204">
        <w:rPr>
          <w:rFonts w:cs="Times New Roman"/>
          <w:szCs w:val="20"/>
        </w:rPr>
        <w:t xml:space="preserve">  Lieberman has impressively stress</w:t>
      </w:r>
      <w:r w:rsidR="00A91960" w:rsidRPr="00E54204">
        <w:rPr>
          <w:rFonts w:cs="Times New Roman"/>
          <w:szCs w:val="20"/>
        </w:rPr>
        <w:t>ed a point that others have not</w:t>
      </w:r>
      <w:r w:rsidR="00AA1903" w:rsidRPr="00E54204">
        <w:rPr>
          <w:rFonts w:cs="Times New Roman"/>
          <w:szCs w:val="20"/>
        </w:rPr>
        <w:t xml:space="preserve">: the </w:t>
      </w:r>
      <w:r w:rsidR="00AA1903" w:rsidRPr="00E54204">
        <w:rPr>
          <w:rFonts w:cs="Times New Roman"/>
          <w:i/>
          <w:szCs w:val="20"/>
        </w:rPr>
        <w:t>bat kol</w:t>
      </w:r>
      <w:r w:rsidR="00FD1A92" w:rsidRPr="00E54204">
        <w:rPr>
          <w:rFonts w:cs="Times New Roman"/>
          <w:szCs w:val="20"/>
        </w:rPr>
        <w:t xml:space="preserve"> functioned as a type</w:t>
      </w:r>
      <w:r w:rsidR="00AA1903" w:rsidRPr="00E54204">
        <w:rPr>
          <w:rFonts w:cs="Times New Roman"/>
          <w:szCs w:val="20"/>
        </w:rPr>
        <w:t xml:space="preserve"> of divination that was in vogue in variou</w:t>
      </w:r>
      <w:r w:rsidR="00A91960" w:rsidRPr="00E54204">
        <w:rPr>
          <w:rFonts w:cs="Times New Roman"/>
          <w:szCs w:val="20"/>
        </w:rPr>
        <w:t xml:space="preserve">s cultures.  Furthermore, he notes that the </w:t>
      </w:r>
      <w:r w:rsidR="00363960" w:rsidRPr="00E54204">
        <w:rPr>
          <w:rFonts w:cs="Times New Roman"/>
          <w:i/>
          <w:szCs w:val="20"/>
        </w:rPr>
        <w:t>bat kol</w:t>
      </w:r>
      <w:r w:rsidR="00363960" w:rsidRPr="00E54204">
        <w:rPr>
          <w:rFonts w:cs="Times New Roman"/>
          <w:szCs w:val="20"/>
        </w:rPr>
        <w:t xml:space="preserve">’s </w:t>
      </w:r>
      <w:r w:rsidR="00CF68E0" w:rsidRPr="00E54204">
        <w:rPr>
          <w:rFonts w:cs="Times New Roman"/>
          <w:szCs w:val="20"/>
        </w:rPr>
        <w:lastRenderedPageBreak/>
        <w:t>oracular function is more visible</w:t>
      </w:r>
      <w:r w:rsidR="00A91960" w:rsidRPr="00E54204">
        <w:rPr>
          <w:rFonts w:cs="Times New Roman"/>
          <w:szCs w:val="20"/>
        </w:rPr>
        <w:t xml:space="preserve"> in post-</w:t>
      </w:r>
      <w:r w:rsidR="00A91960" w:rsidRPr="00E54204">
        <w:rPr>
          <w:rFonts w:cs="Times New Roman"/>
          <w:i/>
          <w:szCs w:val="20"/>
        </w:rPr>
        <w:t>Tannaitic</w:t>
      </w:r>
      <w:r w:rsidR="00A91960" w:rsidRPr="00E54204">
        <w:rPr>
          <w:rFonts w:cs="Times New Roman"/>
          <w:szCs w:val="20"/>
        </w:rPr>
        <w:t xml:space="preserve"> literature.</w:t>
      </w:r>
      <w:r w:rsidR="00832FF6" w:rsidRPr="00E54204">
        <w:rPr>
          <w:rFonts w:cs="Times New Roman"/>
          <w:szCs w:val="20"/>
          <w:vertAlign w:val="superscript"/>
        </w:rPr>
        <w:footnoteReference w:id="75"/>
      </w:r>
      <w:r w:rsidR="00A91960" w:rsidRPr="00E54204">
        <w:rPr>
          <w:rFonts w:cs="Times New Roman"/>
          <w:i/>
          <w:szCs w:val="20"/>
        </w:rPr>
        <w:t xml:space="preserve"> </w:t>
      </w:r>
      <w:r w:rsidR="00A91960" w:rsidRPr="00E54204">
        <w:rPr>
          <w:rFonts w:cs="Times New Roman"/>
          <w:szCs w:val="20"/>
        </w:rPr>
        <w:t xml:space="preserve"> I think his</w:t>
      </w:r>
      <w:r w:rsidR="00AA1903" w:rsidRPr="00E54204">
        <w:rPr>
          <w:rFonts w:cs="Times New Roman"/>
          <w:szCs w:val="20"/>
        </w:rPr>
        <w:t xml:space="preserve"> view insightfully addresses a </w:t>
      </w:r>
      <w:r w:rsidR="00CF68E0" w:rsidRPr="00E54204">
        <w:rPr>
          <w:rFonts w:cs="Times New Roman"/>
          <w:szCs w:val="20"/>
        </w:rPr>
        <w:t>clear segment of instances that are a minority in rabbinic writings</w:t>
      </w:r>
      <w:r w:rsidR="00AA1903" w:rsidRPr="00E54204">
        <w:rPr>
          <w:rFonts w:cs="Times New Roman"/>
          <w:szCs w:val="20"/>
        </w:rPr>
        <w:t>.</w:t>
      </w:r>
    </w:p>
    <w:p w14:paraId="2DC1358A" w14:textId="77777777" w:rsidR="00AA1903" w:rsidRPr="00E54204" w:rsidRDefault="00CB0865" w:rsidP="00AA1903">
      <w:pPr>
        <w:spacing w:after="160"/>
        <w:rPr>
          <w:rFonts w:cs="Times New Roman"/>
          <w:b/>
          <w:szCs w:val="20"/>
        </w:rPr>
      </w:pPr>
      <w:r w:rsidRPr="00E54204">
        <w:rPr>
          <w:rFonts w:cs="Times New Roman"/>
          <w:b/>
          <w:szCs w:val="20"/>
        </w:rPr>
        <w:t>X.</w:t>
      </w:r>
      <w:r w:rsidRPr="00E54204">
        <w:rPr>
          <w:rFonts w:cs="Times New Roman"/>
          <w:b/>
          <w:szCs w:val="20"/>
        </w:rPr>
        <w:tab/>
      </w:r>
      <w:r w:rsidR="00AA1903" w:rsidRPr="00E54204">
        <w:rPr>
          <w:rFonts w:cs="Times New Roman"/>
          <w:b/>
          <w:i/>
          <w:szCs w:val="20"/>
        </w:rPr>
        <w:t>The Rabbinic Mind</w:t>
      </w:r>
      <w:r w:rsidR="00AA1903" w:rsidRPr="00E54204">
        <w:rPr>
          <w:rFonts w:cs="Times New Roman"/>
          <w:b/>
          <w:szCs w:val="20"/>
        </w:rPr>
        <w:t xml:space="preserve"> by Max Kadushin (1952)</w:t>
      </w:r>
    </w:p>
    <w:p w14:paraId="682FA89A" w14:textId="77777777" w:rsidR="00AA1903" w:rsidRPr="00E54204" w:rsidRDefault="005D19F3" w:rsidP="005D19F3">
      <w:pPr>
        <w:spacing w:after="160"/>
        <w:ind w:firstLine="720"/>
        <w:rPr>
          <w:rFonts w:cs="Times New Roman"/>
          <w:szCs w:val="20"/>
        </w:rPr>
      </w:pPr>
      <w:r w:rsidRPr="00E54204">
        <w:rPr>
          <w:rFonts w:cs="Times New Roman"/>
          <w:szCs w:val="20"/>
        </w:rPr>
        <w:t xml:space="preserve">In </w:t>
      </w:r>
      <w:r w:rsidRPr="00E54204">
        <w:rPr>
          <w:rFonts w:cs="Times New Roman"/>
          <w:i/>
          <w:szCs w:val="20"/>
        </w:rPr>
        <w:t>The Rabbinic Mind</w:t>
      </w:r>
      <w:r w:rsidRPr="00E54204">
        <w:rPr>
          <w:rFonts w:cs="Times New Roman"/>
          <w:szCs w:val="20"/>
        </w:rPr>
        <w:t xml:space="preserve">, </w:t>
      </w:r>
      <w:r w:rsidR="00AA1903" w:rsidRPr="00E54204">
        <w:rPr>
          <w:rFonts w:cs="Times New Roman"/>
          <w:szCs w:val="20"/>
        </w:rPr>
        <w:t>Max</w:t>
      </w:r>
      <w:r w:rsidRPr="00E54204">
        <w:rPr>
          <w:rFonts w:cs="Times New Roman"/>
          <w:szCs w:val="20"/>
        </w:rPr>
        <w:t xml:space="preserve"> Kiddushin</w:t>
      </w:r>
      <w:r w:rsidR="00AA1903" w:rsidRPr="00E54204">
        <w:rPr>
          <w:rFonts w:cs="Times New Roman"/>
          <w:szCs w:val="20"/>
        </w:rPr>
        <w:t xml:space="preserve"> devotes a small but important section to the topic of </w:t>
      </w:r>
      <w:r w:rsidR="00AA1903" w:rsidRPr="00E54204">
        <w:rPr>
          <w:rFonts w:cs="Times New Roman"/>
          <w:i/>
          <w:szCs w:val="20"/>
        </w:rPr>
        <w:t>bat kol</w:t>
      </w:r>
      <w:r w:rsidR="00AA1903" w:rsidRPr="00E54204">
        <w:rPr>
          <w:rFonts w:cs="Times New Roman"/>
          <w:szCs w:val="20"/>
        </w:rPr>
        <w:t xml:space="preserve"> in the chapter </w:t>
      </w:r>
      <w:r w:rsidRPr="00E54204">
        <w:rPr>
          <w:rFonts w:cs="Times New Roman"/>
          <w:szCs w:val="20"/>
        </w:rPr>
        <w:t>“N</w:t>
      </w:r>
      <w:r w:rsidR="00AA1903" w:rsidRPr="00E54204">
        <w:rPr>
          <w:rFonts w:cs="Times New Roman"/>
          <w:szCs w:val="20"/>
        </w:rPr>
        <w:t>ormal</w:t>
      </w:r>
      <w:r w:rsidR="00AA1903" w:rsidRPr="00E54204">
        <w:rPr>
          <w:rFonts w:cs="Times New Roman"/>
          <w:i/>
          <w:szCs w:val="20"/>
        </w:rPr>
        <w:t xml:space="preserve"> </w:t>
      </w:r>
      <w:r w:rsidRPr="00E54204">
        <w:rPr>
          <w:rFonts w:cs="Times New Roman"/>
          <w:szCs w:val="20"/>
        </w:rPr>
        <w:t>M</w:t>
      </w:r>
      <w:r w:rsidR="00AA1903" w:rsidRPr="00E54204">
        <w:rPr>
          <w:rFonts w:cs="Times New Roman"/>
          <w:szCs w:val="20"/>
        </w:rPr>
        <w:t>ysticism.</w:t>
      </w:r>
      <w:r w:rsidRPr="00E54204">
        <w:rPr>
          <w:rFonts w:cs="Times New Roman"/>
          <w:szCs w:val="20"/>
        </w:rPr>
        <w:t>”</w:t>
      </w:r>
      <w:r w:rsidR="00E75327" w:rsidRPr="00E54204">
        <w:rPr>
          <w:rFonts w:cs="Times New Roman"/>
          <w:szCs w:val="20"/>
        </w:rPr>
        <w:t xml:space="preserve">  He notes that the commentary of certain 12</w:t>
      </w:r>
      <w:r w:rsidR="00E75327" w:rsidRPr="00E54204">
        <w:rPr>
          <w:rFonts w:cs="Times New Roman"/>
          <w:szCs w:val="20"/>
          <w:vertAlign w:val="superscript"/>
        </w:rPr>
        <w:t>th</w:t>
      </w:r>
      <w:r w:rsidR="00E75327" w:rsidRPr="00E54204">
        <w:rPr>
          <w:rFonts w:cs="Times New Roman"/>
          <w:szCs w:val="20"/>
        </w:rPr>
        <w:t xml:space="preserve"> and 13</w:t>
      </w:r>
      <w:r w:rsidR="00E75327" w:rsidRPr="00E54204">
        <w:rPr>
          <w:rFonts w:cs="Times New Roman"/>
          <w:szCs w:val="20"/>
          <w:vertAlign w:val="superscript"/>
        </w:rPr>
        <w:t>th</w:t>
      </w:r>
      <w:r w:rsidR="00E75327" w:rsidRPr="00E54204">
        <w:rPr>
          <w:rFonts w:cs="Times New Roman"/>
          <w:szCs w:val="20"/>
        </w:rPr>
        <w:t xml:space="preserve"> century Talmudic scholars, known as the Tosafot, </w:t>
      </w:r>
      <w:r w:rsidR="00AA1903" w:rsidRPr="00E54204">
        <w:rPr>
          <w:rFonts w:cs="Times New Roman"/>
          <w:szCs w:val="20"/>
        </w:rPr>
        <w:t xml:space="preserve">explain the word </w:t>
      </w:r>
      <w:r w:rsidR="00AA1903" w:rsidRPr="00E54204">
        <w:rPr>
          <w:rFonts w:cs="Times New Roman"/>
          <w:i/>
          <w:szCs w:val="20"/>
        </w:rPr>
        <w:t>bat</w:t>
      </w:r>
      <w:r w:rsidR="00AA1903" w:rsidRPr="00E54204">
        <w:rPr>
          <w:rFonts w:cs="Times New Roman"/>
          <w:szCs w:val="20"/>
        </w:rPr>
        <w:t xml:space="preserve"> as conveying the idea of an echo deriving from a separate sound assumed to be of heavenly origin.</w:t>
      </w:r>
      <w:r w:rsidR="00AA1903" w:rsidRPr="00E54204">
        <w:rPr>
          <w:rFonts w:cs="Times New Roman"/>
          <w:szCs w:val="20"/>
          <w:vertAlign w:val="superscript"/>
        </w:rPr>
        <w:footnoteReference w:id="76"/>
      </w:r>
      <w:r w:rsidR="00AA1903" w:rsidRPr="00E54204">
        <w:rPr>
          <w:rFonts w:cs="Times New Roman"/>
          <w:szCs w:val="20"/>
        </w:rPr>
        <w:t xml:space="preserve">  Furthermore, he reads the </w:t>
      </w:r>
      <w:r w:rsidR="00AA1903" w:rsidRPr="00E54204">
        <w:rPr>
          <w:rFonts w:cs="Times New Roman"/>
          <w:i/>
          <w:szCs w:val="20"/>
        </w:rPr>
        <w:t>bat kol</w:t>
      </w:r>
      <w:r w:rsidR="00AA1903" w:rsidRPr="00E54204">
        <w:rPr>
          <w:rFonts w:cs="Times New Roman"/>
          <w:szCs w:val="20"/>
        </w:rPr>
        <w:t xml:space="preserve"> as an experience devoid of God thus different from the activity of Biblical prophets, who experienced either direct visitations from </w:t>
      </w:r>
      <w:r w:rsidR="00D554EB" w:rsidRPr="00E54204">
        <w:rPr>
          <w:rFonts w:cs="Times New Roman"/>
          <w:i/>
          <w:szCs w:val="20"/>
        </w:rPr>
        <w:t>Ruach ha-K</w:t>
      </w:r>
      <w:r w:rsidR="00AA1903" w:rsidRPr="00E54204">
        <w:rPr>
          <w:rFonts w:cs="Times New Roman"/>
          <w:i/>
          <w:szCs w:val="20"/>
        </w:rPr>
        <w:t>odesh</w:t>
      </w:r>
      <w:r w:rsidR="004F4043" w:rsidRPr="00E54204">
        <w:rPr>
          <w:rFonts w:cs="Times New Roman"/>
          <w:szCs w:val="20"/>
        </w:rPr>
        <w:t xml:space="preserve"> (H</w:t>
      </w:r>
      <w:r w:rsidR="0000760B" w:rsidRPr="00E54204">
        <w:rPr>
          <w:rFonts w:cs="Times New Roman"/>
          <w:szCs w:val="20"/>
        </w:rPr>
        <w:t>oly Spirit</w:t>
      </w:r>
      <w:r w:rsidR="00AA1903" w:rsidRPr="00E54204">
        <w:rPr>
          <w:rFonts w:cs="Times New Roman"/>
          <w:szCs w:val="20"/>
        </w:rPr>
        <w:t xml:space="preserve">) or </w:t>
      </w:r>
      <w:r w:rsidR="00D554EB" w:rsidRPr="00E54204">
        <w:rPr>
          <w:rFonts w:cs="Times New Roman"/>
          <w:i/>
          <w:szCs w:val="20"/>
        </w:rPr>
        <w:t>G</w:t>
      </w:r>
      <w:r w:rsidR="00E75327" w:rsidRPr="00E54204">
        <w:rPr>
          <w:rFonts w:cs="Times New Roman"/>
          <w:i/>
          <w:szCs w:val="20"/>
        </w:rPr>
        <w:t>illuy</w:t>
      </w:r>
      <w:r w:rsidR="004F4043" w:rsidRPr="00E54204">
        <w:rPr>
          <w:rFonts w:cs="Times New Roman"/>
          <w:i/>
          <w:szCs w:val="20"/>
        </w:rPr>
        <w:t xml:space="preserve"> S</w:t>
      </w:r>
      <w:r w:rsidR="000A6666" w:rsidRPr="00E54204">
        <w:rPr>
          <w:rFonts w:cs="Times New Roman"/>
          <w:i/>
          <w:szCs w:val="20"/>
        </w:rPr>
        <w:t>hech</w:t>
      </w:r>
      <w:r w:rsidR="00AA1903" w:rsidRPr="00E54204">
        <w:rPr>
          <w:rFonts w:cs="Times New Roman"/>
          <w:i/>
          <w:szCs w:val="20"/>
        </w:rPr>
        <w:t>inah</w:t>
      </w:r>
      <w:r w:rsidR="004F4043" w:rsidRPr="00E54204">
        <w:rPr>
          <w:rFonts w:cs="Times New Roman"/>
          <w:szCs w:val="20"/>
        </w:rPr>
        <w:t xml:space="preserve"> (R</w:t>
      </w:r>
      <w:r w:rsidR="00AA1903" w:rsidRPr="00E54204">
        <w:rPr>
          <w:rFonts w:cs="Times New Roman"/>
          <w:szCs w:val="20"/>
        </w:rPr>
        <w:t xml:space="preserve">evelation of God’s glory).  Thus, according to Kiddushin, the rabbis understood the </w:t>
      </w:r>
      <w:r w:rsidR="00AA1903" w:rsidRPr="00E54204">
        <w:rPr>
          <w:rFonts w:cs="Times New Roman"/>
          <w:i/>
          <w:szCs w:val="20"/>
        </w:rPr>
        <w:t>bat kol</w:t>
      </w:r>
      <w:r w:rsidR="00AA1903" w:rsidRPr="00E54204">
        <w:rPr>
          <w:rFonts w:cs="Times New Roman"/>
          <w:szCs w:val="20"/>
        </w:rPr>
        <w:t xml:space="preserve"> as consisting of a completely different phenomena from previous prophetic norms of revelation.</w:t>
      </w:r>
      <w:r w:rsidR="00AA1903" w:rsidRPr="00E54204">
        <w:rPr>
          <w:rFonts w:cs="Times New Roman"/>
          <w:szCs w:val="20"/>
          <w:vertAlign w:val="superscript"/>
        </w:rPr>
        <w:footnoteReference w:id="77"/>
      </w:r>
      <w:r w:rsidR="001B397F" w:rsidRPr="00E54204">
        <w:rPr>
          <w:rFonts w:cs="Times New Roman"/>
          <w:szCs w:val="20"/>
        </w:rPr>
        <w:t xml:space="preserve">  While it is true that evidence suggests it was viewed distinct from previous manifesta</w:t>
      </w:r>
      <w:r w:rsidR="001975D0" w:rsidRPr="00E54204">
        <w:rPr>
          <w:rFonts w:cs="Times New Roman"/>
          <w:szCs w:val="20"/>
        </w:rPr>
        <w:t xml:space="preserve">tions of God, </w:t>
      </w:r>
      <w:r w:rsidR="001B397F" w:rsidRPr="00E54204">
        <w:rPr>
          <w:rFonts w:cs="Times New Roman"/>
          <w:szCs w:val="20"/>
        </w:rPr>
        <w:t>it was not completely unrelated either.</w:t>
      </w:r>
    </w:p>
    <w:p w14:paraId="07640200" w14:textId="77777777" w:rsidR="00AD064A" w:rsidRPr="00E54204" w:rsidRDefault="00CB0865" w:rsidP="00AD064A">
      <w:pPr>
        <w:spacing w:after="160"/>
        <w:rPr>
          <w:rFonts w:cs="Times New Roman"/>
          <w:b/>
          <w:szCs w:val="20"/>
        </w:rPr>
      </w:pPr>
      <w:r w:rsidRPr="00E54204">
        <w:rPr>
          <w:rFonts w:cs="Times New Roman"/>
          <w:b/>
          <w:szCs w:val="20"/>
        </w:rPr>
        <w:t>XI.</w:t>
      </w:r>
      <w:r w:rsidRPr="00E54204">
        <w:rPr>
          <w:rFonts w:cs="Times New Roman"/>
          <w:b/>
          <w:szCs w:val="20"/>
        </w:rPr>
        <w:tab/>
      </w:r>
      <w:r w:rsidR="00AD064A" w:rsidRPr="00E54204">
        <w:rPr>
          <w:rFonts w:cs="Times New Roman"/>
          <w:b/>
          <w:i/>
          <w:szCs w:val="20"/>
        </w:rPr>
        <w:t>Prophetic Inspiration after the Prophets</w:t>
      </w:r>
      <w:r w:rsidR="001F4D6B" w:rsidRPr="00E54204">
        <w:rPr>
          <w:rFonts w:cs="Times New Roman"/>
          <w:b/>
          <w:szCs w:val="20"/>
        </w:rPr>
        <w:t xml:space="preserve"> by Abraham </w:t>
      </w:r>
      <w:r w:rsidR="00AD064A" w:rsidRPr="00E54204">
        <w:rPr>
          <w:rFonts w:cs="Times New Roman"/>
          <w:b/>
          <w:szCs w:val="20"/>
        </w:rPr>
        <w:t>J. Heschel (1966)</w:t>
      </w:r>
    </w:p>
    <w:p w14:paraId="22AD7C9D" w14:textId="77777777" w:rsidR="00AD064A" w:rsidRPr="00E54204" w:rsidRDefault="00AD064A" w:rsidP="00AD064A">
      <w:pPr>
        <w:spacing w:before="240" w:after="160"/>
        <w:ind w:firstLine="720"/>
        <w:rPr>
          <w:rFonts w:cs="Times New Roman"/>
          <w:szCs w:val="20"/>
        </w:rPr>
      </w:pPr>
      <w:r w:rsidRPr="00E54204">
        <w:rPr>
          <w:rFonts w:cs="Times New Roman"/>
          <w:szCs w:val="20"/>
        </w:rPr>
        <w:t xml:space="preserve">Abraham Joshua Heschel, also wrote on the subject of </w:t>
      </w:r>
      <w:r w:rsidRPr="00E54204">
        <w:rPr>
          <w:rFonts w:cs="Times New Roman"/>
          <w:i/>
          <w:szCs w:val="20"/>
        </w:rPr>
        <w:t>bat kol</w:t>
      </w:r>
      <w:r w:rsidRPr="00E54204">
        <w:rPr>
          <w:rFonts w:cs="Times New Roman"/>
          <w:szCs w:val="20"/>
        </w:rPr>
        <w:t xml:space="preserve">, though not extensively.  The first pages of </w:t>
      </w:r>
      <w:r w:rsidRPr="00E54204">
        <w:rPr>
          <w:rFonts w:cs="Times New Roman"/>
          <w:i/>
          <w:szCs w:val="20"/>
        </w:rPr>
        <w:t>Prophetic Inspiration after the Prophets</w:t>
      </w:r>
      <w:r w:rsidRPr="00E54204">
        <w:rPr>
          <w:rFonts w:cs="Times New Roman"/>
          <w:szCs w:val="20"/>
        </w:rPr>
        <w:t xml:space="preserve">, immediately </w:t>
      </w:r>
      <w:r w:rsidRPr="00E54204">
        <w:rPr>
          <w:rFonts w:cs="Times New Roman"/>
          <w:szCs w:val="20"/>
        </w:rPr>
        <w:lastRenderedPageBreak/>
        <w:t>address the topic noting that it was “a kind of prophecy.”</w:t>
      </w:r>
      <w:r w:rsidRPr="00E54204">
        <w:rPr>
          <w:rFonts w:cs="Times New Roman"/>
          <w:szCs w:val="20"/>
          <w:vertAlign w:val="superscript"/>
        </w:rPr>
        <w:footnoteReference w:id="78"/>
      </w:r>
      <w:r w:rsidR="00897B49" w:rsidRPr="00E54204">
        <w:rPr>
          <w:rFonts w:cs="Times New Roman"/>
          <w:szCs w:val="20"/>
        </w:rPr>
        <w:t xml:space="preserve">  One noteworthy detail</w:t>
      </w:r>
      <w:r w:rsidRPr="00E54204">
        <w:rPr>
          <w:rFonts w:cs="Times New Roman"/>
          <w:szCs w:val="20"/>
        </w:rPr>
        <w:t xml:space="preserve"> is his differentiating of revelation to the prophets an</w:t>
      </w:r>
      <w:r w:rsidR="001D3389" w:rsidRPr="00E54204">
        <w:rPr>
          <w:rFonts w:cs="Times New Roman"/>
          <w:szCs w:val="20"/>
        </w:rPr>
        <w:t>d revelation to the sages.  The former</w:t>
      </w:r>
      <w:r w:rsidRPr="00E54204">
        <w:rPr>
          <w:rFonts w:cs="Times New Roman"/>
          <w:szCs w:val="20"/>
        </w:rPr>
        <w:t xml:space="preserve"> was done primarily via “a voice” (</w:t>
      </w:r>
      <w:r w:rsidRPr="00E54204">
        <w:rPr>
          <w:rFonts w:cs="Times New Roman"/>
          <w:i/>
          <w:szCs w:val="20"/>
        </w:rPr>
        <w:t>kol</w:t>
      </w:r>
      <w:r w:rsidRPr="00E54204">
        <w:rPr>
          <w:rFonts w:cs="Times New Roman"/>
          <w:szCs w:val="20"/>
        </w:rPr>
        <w:t>) w</w:t>
      </w:r>
      <w:r w:rsidR="001D3389" w:rsidRPr="00E54204">
        <w:rPr>
          <w:rFonts w:cs="Times New Roman"/>
          <w:szCs w:val="20"/>
        </w:rPr>
        <w:t>hile the latter</w:t>
      </w:r>
      <w:r w:rsidRPr="00E54204">
        <w:rPr>
          <w:rFonts w:cs="Times New Roman"/>
          <w:szCs w:val="20"/>
        </w:rPr>
        <w:t xml:space="preserve"> was achieved via the </w:t>
      </w:r>
      <w:r w:rsidRPr="00E54204">
        <w:rPr>
          <w:rFonts w:cs="Times New Roman"/>
          <w:i/>
          <w:szCs w:val="20"/>
        </w:rPr>
        <w:t>bat kol</w:t>
      </w:r>
      <w:r w:rsidRPr="00E54204">
        <w:rPr>
          <w:rFonts w:cs="Times New Roman"/>
          <w:szCs w:val="20"/>
        </w:rPr>
        <w:t xml:space="preserve"> (“daughter of a voice”).</w:t>
      </w:r>
      <w:r w:rsidRPr="00E54204">
        <w:rPr>
          <w:rFonts w:cs="Times New Roman"/>
          <w:szCs w:val="20"/>
          <w:vertAlign w:val="superscript"/>
        </w:rPr>
        <w:footnoteReference w:id="79"/>
      </w:r>
      <w:r w:rsidR="00897B49" w:rsidRPr="00E54204">
        <w:rPr>
          <w:rFonts w:cs="Times New Roman"/>
          <w:szCs w:val="20"/>
        </w:rPr>
        <w:t xml:space="preserve">  </w:t>
      </w:r>
      <w:r w:rsidRPr="00E54204">
        <w:rPr>
          <w:rFonts w:cs="Times New Roman"/>
          <w:szCs w:val="20"/>
        </w:rPr>
        <w:t xml:space="preserve">He further comments that the </w:t>
      </w:r>
      <w:r w:rsidRPr="00E54204">
        <w:rPr>
          <w:rFonts w:cs="Times New Roman"/>
          <w:i/>
          <w:szCs w:val="20"/>
        </w:rPr>
        <w:t>bat kol</w:t>
      </w:r>
      <w:r w:rsidRPr="00E54204">
        <w:rPr>
          <w:rFonts w:cs="Times New Roman"/>
          <w:szCs w:val="20"/>
        </w:rPr>
        <w:t xml:space="preserve"> during the </w:t>
      </w:r>
      <w:r w:rsidRPr="00E54204">
        <w:rPr>
          <w:rFonts w:cs="Times New Roman"/>
          <w:i/>
          <w:szCs w:val="20"/>
        </w:rPr>
        <w:t>Amoraic</w:t>
      </w:r>
      <w:r w:rsidRPr="00E54204">
        <w:rPr>
          <w:rFonts w:cs="Times New Roman"/>
          <w:szCs w:val="20"/>
        </w:rPr>
        <w:t xml:space="preserve"> period,</w:t>
      </w:r>
      <w:r w:rsidRPr="00E54204">
        <w:rPr>
          <w:rFonts w:cs="Times New Roman"/>
          <w:szCs w:val="20"/>
          <w:vertAlign w:val="superscript"/>
        </w:rPr>
        <w:footnoteReference w:id="80"/>
      </w:r>
      <w:r w:rsidRPr="00E54204">
        <w:rPr>
          <w:rFonts w:cs="Times New Roman"/>
          <w:szCs w:val="20"/>
        </w:rPr>
        <w:t xml:space="preserve"> was understood to communicate messages from heaven in a natural manner.</w:t>
      </w:r>
      <w:r w:rsidRPr="00E54204">
        <w:rPr>
          <w:rFonts w:cs="Times New Roman"/>
          <w:szCs w:val="20"/>
          <w:vertAlign w:val="superscript"/>
        </w:rPr>
        <w:footnoteReference w:id="81"/>
      </w:r>
      <w:r w:rsidRPr="00E54204">
        <w:rPr>
          <w:rFonts w:cs="Times New Roman"/>
          <w:szCs w:val="20"/>
        </w:rPr>
        <w:t xml:space="preserve">   </w:t>
      </w:r>
    </w:p>
    <w:p w14:paraId="749258DE" w14:textId="77777777" w:rsidR="00AA1903" w:rsidRPr="00E54204" w:rsidRDefault="00CB0865" w:rsidP="00AA1903">
      <w:pPr>
        <w:rPr>
          <w:rFonts w:cs="Times New Roman"/>
          <w:b/>
        </w:rPr>
      </w:pPr>
      <w:r w:rsidRPr="00E54204">
        <w:rPr>
          <w:rFonts w:cs="Times New Roman"/>
          <w:b/>
        </w:rPr>
        <w:t>XII.</w:t>
      </w:r>
      <w:r w:rsidRPr="00E54204">
        <w:rPr>
          <w:rFonts w:cs="Times New Roman"/>
          <w:b/>
        </w:rPr>
        <w:tab/>
      </w:r>
      <w:r w:rsidR="00461E6E" w:rsidRPr="00E54204">
        <w:rPr>
          <w:rFonts w:cs="Times New Roman"/>
          <w:b/>
          <w:i/>
        </w:rPr>
        <w:t>Theological Dictionary of the N.T</w:t>
      </w:r>
      <w:r w:rsidR="00DC3069" w:rsidRPr="00E54204">
        <w:rPr>
          <w:rFonts w:cs="Times New Roman"/>
          <w:b/>
          <w:i/>
        </w:rPr>
        <w:t>.</w:t>
      </w:r>
      <w:r w:rsidR="00461E6E" w:rsidRPr="00E54204">
        <w:rPr>
          <w:rFonts w:cs="Times New Roman"/>
          <w:b/>
          <w:i/>
        </w:rPr>
        <w:t>,</w:t>
      </w:r>
      <w:r w:rsidR="00461E6E" w:rsidRPr="00E54204">
        <w:rPr>
          <w:rFonts w:cs="Times New Roman"/>
          <w:b/>
        </w:rPr>
        <w:t xml:space="preserve"> </w:t>
      </w:r>
      <w:r w:rsidR="00AA1903" w:rsidRPr="00E54204">
        <w:rPr>
          <w:rFonts w:cs="Times New Roman"/>
          <w:b/>
        </w:rPr>
        <w:t xml:space="preserve">“Φωνή” </w:t>
      </w:r>
      <w:r w:rsidR="00C601CF" w:rsidRPr="00E54204">
        <w:rPr>
          <w:rFonts w:cs="Times New Roman"/>
          <w:b/>
        </w:rPr>
        <w:t xml:space="preserve">(article by Otto Betz, </w:t>
      </w:r>
      <w:r w:rsidR="00AA1903" w:rsidRPr="00E54204">
        <w:rPr>
          <w:rFonts w:cs="Times New Roman"/>
          <w:b/>
        </w:rPr>
        <w:t>1974)</w:t>
      </w:r>
    </w:p>
    <w:p w14:paraId="2D682194" w14:textId="77777777" w:rsidR="00AA1903" w:rsidRPr="00E54204" w:rsidRDefault="00AA1903" w:rsidP="0010599B">
      <w:pPr>
        <w:ind w:firstLine="720"/>
        <w:rPr>
          <w:rFonts w:cs="Times New Roman"/>
        </w:rPr>
      </w:pPr>
      <w:r w:rsidRPr="00E54204">
        <w:rPr>
          <w:rFonts w:cs="Times New Roman"/>
        </w:rPr>
        <w:t xml:space="preserve">Otto Betz’s article is a stellar reference-work due to the manner in which he historically and systematically reviews the usage of the Greek term φωνή (“sound” or “voice”) and its general Hebrew equivalent </w:t>
      </w:r>
      <w:r w:rsidRPr="00E54204">
        <w:rPr>
          <w:rFonts w:cs="Times New Roman"/>
          <w:i/>
          <w:rtl/>
          <w:lang w:bidi="he-IL"/>
        </w:rPr>
        <w:t>קול</w:t>
      </w:r>
      <w:r w:rsidRPr="00E54204">
        <w:rPr>
          <w:rFonts w:cs="Times New Roman"/>
        </w:rPr>
        <w:t>.  This wide-ranging comparison among various literatures allows the reader to infer possible connections from source to source.  Betz shows how Greek literature employed a variegated usage of the term ranging from t</w:t>
      </w:r>
      <w:r w:rsidR="000E097C" w:rsidRPr="00E54204">
        <w:rPr>
          <w:rFonts w:cs="Times New Roman"/>
        </w:rPr>
        <w:t>he cries of animals to the instrument</w:t>
      </w:r>
      <w:r w:rsidRPr="00E54204">
        <w:rPr>
          <w:rFonts w:cs="Times New Roman"/>
        </w:rPr>
        <w:t xml:space="preserve"> of divine fiat; some of the exampl</w:t>
      </w:r>
      <w:r w:rsidR="008714A1" w:rsidRPr="00E54204">
        <w:rPr>
          <w:rFonts w:cs="Times New Roman"/>
        </w:rPr>
        <w:t>es are reminiscent of the</w:t>
      </w:r>
      <w:r w:rsidRPr="00E54204">
        <w:rPr>
          <w:rFonts w:cs="Times New Roman"/>
        </w:rPr>
        <w:t xml:space="preserve"> </w:t>
      </w:r>
      <w:r w:rsidRPr="00E54204">
        <w:rPr>
          <w:rFonts w:cs="Times New Roman"/>
          <w:i/>
        </w:rPr>
        <w:t>bat kol</w:t>
      </w:r>
      <w:r w:rsidRPr="00E54204">
        <w:rPr>
          <w:rFonts w:cs="Times New Roman"/>
        </w:rPr>
        <w:t>.</w:t>
      </w:r>
      <w:r w:rsidRPr="00E54204">
        <w:rPr>
          <w:rFonts w:cs="Times New Roman"/>
          <w:vertAlign w:val="superscript"/>
        </w:rPr>
        <w:footnoteReference w:id="82"/>
      </w:r>
      <w:r w:rsidRPr="00E54204">
        <w:rPr>
          <w:rFonts w:cs="Times New Roman"/>
        </w:rPr>
        <w:t xml:space="preserve">  </w:t>
      </w:r>
    </w:p>
    <w:p w14:paraId="0EDCF805" w14:textId="77777777" w:rsidR="00AA1903" w:rsidRPr="00E54204" w:rsidRDefault="00AA1903" w:rsidP="0010599B">
      <w:pPr>
        <w:ind w:firstLine="720"/>
        <w:rPr>
          <w:rFonts w:cs="Times New Roman"/>
        </w:rPr>
      </w:pPr>
      <w:r w:rsidRPr="00E54204">
        <w:rPr>
          <w:rFonts w:cs="Times New Roman"/>
        </w:rPr>
        <w:t>The Hebrew term for voice</w:t>
      </w:r>
      <w:r w:rsidRPr="00E54204">
        <w:rPr>
          <w:rFonts w:cs="Times New Roman" w:hint="cs"/>
          <w:i/>
          <w:rtl/>
          <w:lang w:bidi="he-IL"/>
        </w:rPr>
        <w:t>,</w:t>
      </w:r>
      <w:r w:rsidRPr="00E54204">
        <w:rPr>
          <w:rFonts w:cs="Times New Roman"/>
        </w:rPr>
        <w:t xml:space="preserve"> </w:t>
      </w:r>
      <w:r w:rsidRPr="00E54204">
        <w:rPr>
          <w:rFonts w:cs="Times New Roman"/>
          <w:i/>
        </w:rPr>
        <w:t>kol</w:t>
      </w:r>
      <w:r w:rsidRPr="00E54204">
        <w:rPr>
          <w:rFonts w:cs="Times New Roman"/>
        </w:rPr>
        <w:t xml:space="preserve"> (</w:t>
      </w:r>
      <w:r w:rsidRPr="00E54204">
        <w:rPr>
          <w:rFonts w:cs="Times New Roman"/>
          <w:i/>
          <w:rtl/>
          <w:lang w:bidi="he-IL"/>
        </w:rPr>
        <w:t>קול</w:t>
      </w:r>
      <w:r w:rsidRPr="00E54204">
        <w:rPr>
          <w:rFonts w:cs="Times New Roman"/>
        </w:rPr>
        <w:t xml:space="preserve">), has in the Hebrew Bible a range of meanings.  It can function to describe various sorts of noises: thunder, roars, sound of </w:t>
      </w:r>
      <w:r w:rsidRPr="00E54204">
        <w:rPr>
          <w:rFonts w:cs="Times New Roman"/>
        </w:rPr>
        <w:lastRenderedPageBreak/>
        <w:t>steps, and battle cries.</w:t>
      </w:r>
      <w:r w:rsidRPr="00E54204">
        <w:rPr>
          <w:rFonts w:cs="Times New Roman"/>
          <w:vertAlign w:val="superscript"/>
        </w:rPr>
        <w:footnoteReference w:id="83"/>
      </w:r>
      <w:r w:rsidRPr="00E54204">
        <w:rPr>
          <w:rFonts w:cs="Times New Roman"/>
        </w:rPr>
        <w:t xml:space="preserve">  On a few occasions angels are said to be communicate via a </w:t>
      </w:r>
      <w:r w:rsidRPr="00E54204">
        <w:rPr>
          <w:rFonts w:cs="Times New Roman"/>
          <w:i/>
        </w:rPr>
        <w:t>kol</w:t>
      </w:r>
      <w:r w:rsidRPr="00E54204">
        <w:rPr>
          <w:rFonts w:cs="Times New Roman"/>
        </w:rPr>
        <w:t>, even anonymously at times.</w:t>
      </w:r>
      <w:r w:rsidRPr="00E54204">
        <w:rPr>
          <w:rFonts w:cs="Times New Roman"/>
          <w:vertAlign w:val="superscript"/>
        </w:rPr>
        <w:footnoteReference w:id="84"/>
      </w:r>
      <w:r w:rsidRPr="00E54204">
        <w:rPr>
          <w:rFonts w:cs="Times New Roman"/>
        </w:rPr>
        <w:t xml:space="preserve">  Yet it also takes on a very important and prophetic connotation.  As Betz rightly observes, God is neither seen nor touched so to speak</w:t>
      </w:r>
      <w:r w:rsidR="00144CB7" w:rsidRPr="00E54204">
        <w:rPr>
          <w:rFonts w:cs="Times New Roman"/>
        </w:rPr>
        <w:t>,</w:t>
      </w:r>
      <w:r w:rsidRPr="00E54204">
        <w:rPr>
          <w:rFonts w:cs="Times New Roman"/>
          <w:vertAlign w:val="superscript"/>
        </w:rPr>
        <w:footnoteReference w:id="85"/>
      </w:r>
      <w:r w:rsidR="00144CB7" w:rsidRPr="00E54204">
        <w:rPr>
          <w:rFonts w:cs="Times New Roman"/>
        </w:rPr>
        <w:t xml:space="preserve"> </w:t>
      </w:r>
      <w:r w:rsidRPr="00E54204">
        <w:rPr>
          <w:rFonts w:cs="Times New Roman"/>
        </w:rPr>
        <w:t>yet the fact that He is heard is of utmost significance.</w:t>
      </w:r>
      <w:r w:rsidRPr="00E54204">
        <w:rPr>
          <w:rFonts w:cs="Times New Roman"/>
          <w:vertAlign w:val="superscript"/>
        </w:rPr>
        <w:footnoteReference w:id="86"/>
      </w:r>
      <w:r w:rsidRPr="00E54204">
        <w:rPr>
          <w:rFonts w:cs="Times New Roman"/>
        </w:rPr>
        <w:t xml:space="preserve">  God’s speech may vary in form and output, like the roar of rushing waters</w:t>
      </w:r>
      <w:r w:rsidRPr="00E54204">
        <w:rPr>
          <w:rFonts w:cs="Times New Roman"/>
          <w:vertAlign w:val="superscript"/>
        </w:rPr>
        <w:footnoteReference w:id="87"/>
      </w:r>
      <w:r w:rsidR="008714A1" w:rsidRPr="00E54204">
        <w:rPr>
          <w:rFonts w:cs="Times New Roman"/>
        </w:rPr>
        <w:t xml:space="preserve"> or the small divine whisper heard by Elijah</w:t>
      </w:r>
      <w:r w:rsidRPr="00E54204">
        <w:rPr>
          <w:rFonts w:cs="Times New Roman"/>
        </w:rPr>
        <w:t>.</w:t>
      </w:r>
      <w:r w:rsidRPr="00E54204">
        <w:rPr>
          <w:rFonts w:cs="Times New Roman"/>
          <w:vertAlign w:val="superscript"/>
        </w:rPr>
        <w:footnoteReference w:id="88"/>
      </w:r>
      <w:r w:rsidRPr="00E54204">
        <w:rPr>
          <w:rFonts w:cs="Times New Roman"/>
        </w:rPr>
        <w:t xml:space="preserve">  Interestingly enough, God’s speech is so potent that it is described as causing the earth to tremble.</w:t>
      </w:r>
      <w:r w:rsidRPr="00E54204">
        <w:rPr>
          <w:rFonts w:cs="Times New Roman"/>
          <w:vertAlign w:val="superscript"/>
        </w:rPr>
        <w:footnoteReference w:id="89"/>
      </w:r>
      <w:r w:rsidRPr="00E54204">
        <w:rPr>
          <w:rFonts w:cs="Times New Roman"/>
        </w:rPr>
        <w:t xml:space="preserve">   Later, obeying the “voice of the LORD” would become synonymous with upholding the ancient </w:t>
      </w:r>
      <w:r w:rsidR="00144CB7" w:rsidRPr="00E54204">
        <w:rPr>
          <w:rFonts w:cs="Times New Roman"/>
        </w:rPr>
        <w:t xml:space="preserve">Mosaic </w:t>
      </w:r>
      <w:r w:rsidRPr="00E54204">
        <w:rPr>
          <w:rFonts w:cs="Times New Roman"/>
        </w:rPr>
        <w:t>covenan</w:t>
      </w:r>
      <w:r w:rsidR="008714A1" w:rsidRPr="00E54204">
        <w:rPr>
          <w:rFonts w:cs="Times New Roman"/>
        </w:rPr>
        <w:t>t.</w:t>
      </w:r>
      <w:r w:rsidRPr="00E54204">
        <w:rPr>
          <w:rFonts w:cs="Times New Roman"/>
          <w:vertAlign w:val="superscript"/>
        </w:rPr>
        <w:footnoteReference w:id="90"/>
      </w:r>
      <w:r w:rsidRPr="00E54204">
        <w:rPr>
          <w:rFonts w:cs="Times New Roman"/>
        </w:rPr>
        <w:t xml:space="preserve">  </w:t>
      </w:r>
    </w:p>
    <w:p w14:paraId="4E2395B5" w14:textId="77777777" w:rsidR="00AA1903" w:rsidRPr="00E54204" w:rsidRDefault="00AA1903" w:rsidP="003776A0">
      <w:pPr>
        <w:ind w:firstLine="720"/>
        <w:rPr>
          <w:rFonts w:cs="Times New Roman"/>
        </w:rPr>
      </w:pPr>
      <w:r w:rsidRPr="00E54204">
        <w:rPr>
          <w:rFonts w:cs="Times New Roman"/>
        </w:rPr>
        <w:t xml:space="preserve">Betz comments, “Ancient oriental, OT, and especially apocalyptic-visionary traditions are adopted here [in the </w:t>
      </w:r>
      <w:r w:rsidRPr="00E54204">
        <w:rPr>
          <w:rFonts w:cs="Times New Roman"/>
          <w:i/>
        </w:rPr>
        <w:t>bat kol</w:t>
      </w:r>
      <w:r w:rsidRPr="00E54204">
        <w:rPr>
          <w:rFonts w:cs="Times New Roman"/>
        </w:rPr>
        <w:t>] and developed and formalized under the impress of the divine transcendence.”</w:t>
      </w:r>
      <w:r w:rsidRPr="00E54204">
        <w:rPr>
          <w:rFonts w:cs="Times New Roman"/>
          <w:vertAlign w:val="superscript"/>
        </w:rPr>
        <w:footnoteReference w:id="91"/>
      </w:r>
      <w:r w:rsidRPr="00E54204">
        <w:rPr>
          <w:rFonts w:cs="Times New Roman"/>
        </w:rPr>
        <w:t xml:space="preserve">  He further comments that the </w:t>
      </w:r>
      <w:r w:rsidRPr="00E54204">
        <w:rPr>
          <w:rFonts w:cs="Times New Roman"/>
          <w:i/>
        </w:rPr>
        <w:t>bat kol</w:t>
      </w:r>
      <w:r w:rsidRPr="00E54204">
        <w:rPr>
          <w:rFonts w:cs="Times New Roman"/>
        </w:rPr>
        <w:t xml:space="preserve"> should not be viewed as a continuation of God’s revelation, as begun at Sinai or delivered to the Biblical prophets, since the rabbis espoused that the canon had closed.  In addition, Betz notes that the </w:t>
      </w:r>
      <w:r w:rsidRPr="00E54204">
        <w:rPr>
          <w:rFonts w:cs="Times New Roman"/>
          <w:i/>
        </w:rPr>
        <w:t>bat kol</w:t>
      </w:r>
      <w:r w:rsidRPr="00E54204">
        <w:rPr>
          <w:rFonts w:cs="Times New Roman"/>
        </w:rPr>
        <w:t xml:space="preserve"> does not establish a lasting relationship between God and man, </w:t>
      </w:r>
      <w:r w:rsidRPr="00E54204">
        <w:rPr>
          <w:rFonts w:cs="Times New Roman"/>
        </w:rPr>
        <w:lastRenderedPageBreak/>
        <w:t>unlike the Holy Spirit.  Nor is it exclusive to the righteous; it descends upon Gentiles and the unrighteous.</w:t>
      </w:r>
      <w:r w:rsidRPr="00E54204">
        <w:rPr>
          <w:rFonts w:cs="Times New Roman"/>
          <w:vertAlign w:val="superscript"/>
        </w:rPr>
        <w:footnoteReference w:id="92"/>
      </w:r>
      <w:r w:rsidRPr="00E54204">
        <w:rPr>
          <w:rFonts w:cs="Times New Roman"/>
        </w:rPr>
        <w:t xml:space="preserve">  Betz, purports that it comprises part of the popular and legendary material known as </w:t>
      </w:r>
      <w:r w:rsidRPr="00E54204">
        <w:rPr>
          <w:rFonts w:cs="Times New Roman"/>
          <w:i/>
        </w:rPr>
        <w:t>Haggadah</w:t>
      </w:r>
      <w:r w:rsidRPr="00E54204">
        <w:rPr>
          <w:rFonts w:cs="Times New Roman"/>
        </w:rPr>
        <w:t>, normally resorted to for moral instruction.</w:t>
      </w:r>
    </w:p>
    <w:p w14:paraId="46331BF1" w14:textId="77777777" w:rsidR="00AA1903" w:rsidRPr="00E54204" w:rsidRDefault="00CB0865" w:rsidP="003776A0">
      <w:pPr>
        <w:rPr>
          <w:rFonts w:cs="Times New Roman"/>
          <w:b/>
          <w:szCs w:val="20"/>
        </w:rPr>
      </w:pPr>
      <w:r w:rsidRPr="00E54204">
        <w:rPr>
          <w:rFonts w:cs="Times New Roman"/>
          <w:b/>
          <w:szCs w:val="20"/>
        </w:rPr>
        <w:t>XIII.</w:t>
      </w:r>
      <w:r w:rsidRPr="00E54204">
        <w:rPr>
          <w:rFonts w:cs="Times New Roman"/>
          <w:b/>
          <w:szCs w:val="20"/>
        </w:rPr>
        <w:tab/>
      </w:r>
      <w:r w:rsidR="00AA1903" w:rsidRPr="00E54204">
        <w:rPr>
          <w:rFonts w:cs="Times New Roman"/>
          <w:b/>
          <w:i/>
          <w:szCs w:val="20"/>
        </w:rPr>
        <w:t>Essays in Jewish Thought</w:t>
      </w:r>
      <w:r w:rsidR="00AA1903" w:rsidRPr="00E54204">
        <w:rPr>
          <w:rFonts w:cs="Times New Roman"/>
          <w:b/>
          <w:szCs w:val="20"/>
        </w:rPr>
        <w:t xml:space="preserve"> by Nahum Glatzer (1978)</w:t>
      </w:r>
    </w:p>
    <w:p w14:paraId="31C3C890" w14:textId="77777777" w:rsidR="00AA1903" w:rsidRPr="00E54204" w:rsidRDefault="00AA1903" w:rsidP="003776A0">
      <w:pPr>
        <w:ind w:firstLine="720"/>
        <w:rPr>
          <w:rFonts w:cs="Times New Roman"/>
          <w:szCs w:val="20"/>
        </w:rPr>
      </w:pPr>
      <w:r w:rsidRPr="00E54204">
        <w:rPr>
          <w:rFonts w:cs="Times New Roman"/>
          <w:szCs w:val="20"/>
        </w:rPr>
        <w:t xml:space="preserve">Nahum Glatzer in </w:t>
      </w:r>
      <w:r w:rsidRPr="00E54204">
        <w:rPr>
          <w:rFonts w:cs="Times New Roman"/>
          <w:i/>
          <w:szCs w:val="20"/>
        </w:rPr>
        <w:t>Talmudic Interpretation of Prophecy</w:t>
      </w:r>
      <w:r w:rsidR="00725F53" w:rsidRPr="00E54204">
        <w:rPr>
          <w:rFonts w:cs="Times New Roman"/>
          <w:szCs w:val="20"/>
        </w:rPr>
        <w:t>, asserts</w:t>
      </w:r>
      <w:r w:rsidRPr="00E54204">
        <w:rPr>
          <w:rFonts w:cs="Times New Roman"/>
          <w:szCs w:val="20"/>
        </w:rPr>
        <w:t xml:space="preserve"> that the rabbis differentiated between prophecy during Biblical times and prophecy in their own days.  An example given by Glatzer comes from a </w:t>
      </w:r>
      <w:r w:rsidR="00725F53" w:rsidRPr="00E54204">
        <w:rPr>
          <w:rFonts w:cs="Times New Roman"/>
          <w:szCs w:val="20"/>
        </w:rPr>
        <w:t>third-century figure, R.</w:t>
      </w:r>
      <w:r w:rsidRPr="00E54204">
        <w:rPr>
          <w:rFonts w:cs="Times New Roman"/>
          <w:szCs w:val="20"/>
        </w:rPr>
        <w:t xml:space="preserve"> Reuven, who compared the prophetic (i.e., Biblical) period to the presence of a king in his city, subsequently, upon the absence of the king there remained his statue.</w:t>
      </w:r>
      <w:r w:rsidRPr="00E54204">
        <w:rPr>
          <w:rFonts w:cs="Times New Roman"/>
          <w:szCs w:val="20"/>
          <w:vertAlign w:val="superscript"/>
        </w:rPr>
        <w:footnoteReference w:id="93"/>
      </w:r>
      <w:r w:rsidRPr="00E54204">
        <w:rPr>
          <w:rFonts w:cs="Times New Roman"/>
          <w:szCs w:val="20"/>
        </w:rPr>
        <w:t xml:space="preserve">  In this metaphor</w:t>
      </w:r>
      <w:r w:rsidR="00725F53" w:rsidRPr="00E54204">
        <w:rPr>
          <w:rFonts w:cs="Times New Roman"/>
          <w:szCs w:val="20"/>
        </w:rPr>
        <w:t xml:space="preserve"> the statue does not exercise authority to issue</w:t>
      </w:r>
      <w:r w:rsidRPr="00E54204">
        <w:rPr>
          <w:rFonts w:cs="Times New Roman"/>
          <w:szCs w:val="20"/>
        </w:rPr>
        <w:t xml:space="preserve"> edicts and judgments.  Nevertheless, the statue serves an interim role in lieu of the absence of the re</w:t>
      </w:r>
      <w:r w:rsidR="002A28D8" w:rsidRPr="00E54204">
        <w:rPr>
          <w:rFonts w:cs="Times New Roman"/>
          <w:szCs w:val="20"/>
        </w:rPr>
        <w:t>al person.  The voice of heaven</w:t>
      </w:r>
      <w:r w:rsidRPr="00E54204">
        <w:rPr>
          <w:rFonts w:cs="Times New Roman"/>
          <w:szCs w:val="20"/>
        </w:rPr>
        <w:t xml:space="preserve"> is likewise understood to be a less authoritative f</w:t>
      </w:r>
      <w:r w:rsidR="00F86C19" w:rsidRPr="00E54204">
        <w:rPr>
          <w:rFonts w:cs="Times New Roman"/>
          <w:szCs w:val="20"/>
        </w:rPr>
        <w:t>orm of revelation since the more</w:t>
      </w:r>
      <w:r w:rsidRPr="00E54204">
        <w:rPr>
          <w:rFonts w:cs="Times New Roman"/>
          <w:szCs w:val="20"/>
        </w:rPr>
        <w:t xml:space="preserve"> direct forms of co</w:t>
      </w:r>
      <w:r w:rsidR="001371E7" w:rsidRPr="00E54204">
        <w:rPr>
          <w:rFonts w:cs="Times New Roman"/>
          <w:szCs w:val="20"/>
        </w:rPr>
        <w:t>mmunication have</w:t>
      </w:r>
      <w:r w:rsidR="00F86C19" w:rsidRPr="00E54204">
        <w:rPr>
          <w:rFonts w:cs="Times New Roman"/>
          <w:szCs w:val="20"/>
        </w:rPr>
        <w:t xml:space="preserve"> ceased.</w:t>
      </w:r>
    </w:p>
    <w:p w14:paraId="3EF21840" w14:textId="77777777" w:rsidR="00AA1903" w:rsidRPr="00E54204" w:rsidRDefault="00AA1903" w:rsidP="00AA1903">
      <w:pPr>
        <w:spacing w:after="160"/>
        <w:rPr>
          <w:rFonts w:cs="Times New Roman"/>
          <w:szCs w:val="20"/>
        </w:rPr>
      </w:pPr>
      <w:r w:rsidRPr="00E54204">
        <w:rPr>
          <w:rFonts w:cs="Times New Roman"/>
          <w:szCs w:val="20"/>
        </w:rPr>
        <w:tab/>
        <w:t xml:space="preserve">Another noteworthy point by Glatzer is the “worthiness” required by individuals to receive either the </w:t>
      </w:r>
      <w:r w:rsidR="00D554EB" w:rsidRPr="00E54204">
        <w:rPr>
          <w:rFonts w:cs="Times New Roman"/>
          <w:i/>
          <w:szCs w:val="20"/>
        </w:rPr>
        <w:t>Ruach ha-K</w:t>
      </w:r>
      <w:r w:rsidRPr="00E54204">
        <w:rPr>
          <w:rFonts w:cs="Times New Roman"/>
          <w:i/>
          <w:szCs w:val="20"/>
        </w:rPr>
        <w:t>odesh</w:t>
      </w:r>
      <w:r w:rsidR="00D43DA7" w:rsidRPr="00E54204">
        <w:rPr>
          <w:rFonts w:cs="Times New Roman"/>
          <w:szCs w:val="20"/>
        </w:rPr>
        <w:t xml:space="preserve"> or any</w:t>
      </w:r>
      <w:r w:rsidRPr="00E54204">
        <w:rPr>
          <w:rFonts w:cs="Times New Roman"/>
          <w:szCs w:val="20"/>
        </w:rPr>
        <w:t xml:space="preserve"> comparable prophetic experience.</w:t>
      </w:r>
      <w:r w:rsidR="001C5647" w:rsidRPr="00E54204">
        <w:rPr>
          <w:rFonts w:cs="Times New Roman"/>
          <w:szCs w:val="20"/>
        </w:rPr>
        <w:t xml:space="preserve">  </w:t>
      </w:r>
      <w:r w:rsidRPr="00E54204">
        <w:rPr>
          <w:rFonts w:cs="Times New Roman"/>
          <w:szCs w:val="20"/>
        </w:rPr>
        <w:t>According to some rabbinic texts, there were various way</w:t>
      </w:r>
      <w:r w:rsidR="001C5647" w:rsidRPr="00E54204">
        <w:rPr>
          <w:rFonts w:cs="Times New Roman"/>
          <w:szCs w:val="20"/>
        </w:rPr>
        <w:t>s</w:t>
      </w:r>
      <w:r w:rsidRPr="00E54204">
        <w:rPr>
          <w:rFonts w:cs="Times New Roman"/>
          <w:szCs w:val="20"/>
        </w:rPr>
        <w:t xml:space="preserve"> individuals could prepare to receive manifestations of God: studying Torah,</w:t>
      </w:r>
      <w:r w:rsidRPr="00E54204">
        <w:rPr>
          <w:rFonts w:cs="Times New Roman"/>
          <w:szCs w:val="20"/>
          <w:vertAlign w:val="superscript"/>
        </w:rPr>
        <w:footnoteReference w:id="94"/>
      </w:r>
      <w:r w:rsidRPr="00E54204">
        <w:rPr>
          <w:rFonts w:cs="Times New Roman"/>
          <w:szCs w:val="20"/>
        </w:rPr>
        <w:t xml:space="preserve"> being humble, and saying words of Torah in public.</w:t>
      </w:r>
      <w:r w:rsidRPr="00E54204">
        <w:rPr>
          <w:rFonts w:cs="Times New Roman"/>
          <w:szCs w:val="20"/>
          <w:vertAlign w:val="superscript"/>
        </w:rPr>
        <w:footnoteReference w:id="95"/>
      </w:r>
      <w:r w:rsidRPr="00E54204">
        <w:rPr>
          <w:rFonts w:cs="Times New Roman"/>
          <w:szCs w:val="20"/>
        </w:rPr>
        <w:t xml:space="preserve">  We even read of the </w:t>
      </w:r>
      <w:r w:rsidRPr="00E54204">
        <w:rPr>
          <w:rFonts w:cs="Times New Roman"/>
          <w:i/>
          <w:szCs w:val="20"/>
        </w:rPr>
        <w:t>bat kol</w:t>
      </w:r>
      <w:r w:rsidRPr="00E54204">
        <w:rPr>
          <w:rFonts w:cs="Times New Roman"/>
          <w:szCs w:val="20"/>
        </w:rPr>
        <w:t xml:space="preserve"> ringing forth on several occasions to </w:t>
      </w:r>
      <w:r w:rsidRPr="00E54204">
        <w:rPr>
          <w:rFonts w:cs="Times New Roman"/>
          <w:szCs w:val="20"/>
        </w:rPr>
        <w:lastRenderedPageBreak/>
        <w:t>single out Hillel the Elder and Samuel the Small as meriting the bestowal of the Holy Spirit if it were not for their generation.</w:t>
      </w:r>
      <w:r w:rsidRPr="00E54204">
        <w:rPr>
          <w:rFonts w:cs="Times New Roman"/>
          <w:szCs w:val="20"/>
          <w:vertAlign w:val="superscript"/>
        </w:rPr>
        <w:footnoteReference w:id="96"/>
      </w:r>
      <w:r w:rsidRPr="00E54204">
        <w:rPr>
          <w:rFonts w:cs="Times New Roman"/>
          <w:szCs w:val="20"/>
        </w:rPr>
        <w:t xml:space="preserve">  Consequently, by study and good deeds we do find evidence of the Holy Spirit approaching or dwelling upon certain people; however, in contradistinction to the Biblical mode of prophecy, no radically new revelations were promulgated so as to alter the established religious order of the day.</w:t>
      </w:r>
      <w:r w:rsidRPr="00E54204">
        <w:rPr>
          <w:rFonts w:cs="Times New Roman"/>
          <w:szCs w:val="20"/>
          <w:vertAlign w:val="superscript"/>
        </w:rPr>
        <w:footnoteReference w:id="97"/>
      </w:r>
      <w:r w:rsidRPr="00E54204">
        <w:rPr>
          <w:rFonts w:cs="Times New Roman"/>
          <w:szCs w:val="20"/>
        </w:rPr>
        <w:t xml:space="preserve">  The </w:t>
      </w:r>
      <w:r w:rsidRPr="00E54204">
        <w:rPr>
          <w:rFonts w:cs="Times New Roman"/>
          <w:i/>
          <w:szCs w:val="20"/>
        </w:rPr>
        <w:t>bat kol</w:t>
      </w:r>
      <w:r w:rsidRPr="00E54204">
        <w:rPr>
          <w:rFonts w:cs="Times New Roman"/>
          <w:szCs w:val="20"/>
        </w:rPr>
        <w:t xml:space="preserve"> then would serv</w:t>
      </w:r>
      <w:r w:rsidR="00E6223A" w:rsidRPr="00E54204">
        <w:rPr>
          <w:rFonts w:cs="Times New Roman"/>
          <w:szCs w:val="20"/>
        </w:rPr>
        <w:t>e the function as a counselor as well as revealing individuals’ merit before God</w:t>
      </w:r>
      <w:r w:rsidRPr="00E54204">
        <w:rPr>
          <w:rFonts w:cs="Times New Roman"/>
          <w:szCs w:val="20"/>
        </w:rPr>
        <w:t>.  However,</w:t>
      </w:r>
      <w:r w:rsidR="00505404" w:rsidRPr="00E54204">
        <w:rPr>
          <w:rFonts w:cs="Times New Roman"/>
          <w:szCs w:val="20"/>
        </w:rPr>
        <w:t xml:space="preserve"> against Glatzer it might be argued that this definition applies only in certain cases.</w:t>
      </w:r>
      <w:r w:rsidRPr="00E54204">
        <w:rPr>
          <w:rFonts w:cs="Times New Roman"/>
          <w:szCs w:val="20"/>
        </w:rPr>
        <w:t xml:space="preserve">  There are numerous examples when no mention of merit is made in relation to the apparition of the “voice from heaven</w:t>
      </w:r>
      <w:r w:rsidR="002A28D8" w:rsidRPr="00E54204">
        <w:rPr>
          <w:rFonts w:cs="Times New Roman"/>
          <w:szCs w:val="20"/>
        </w:rPr>
        <w:t>.</w:t>
      </w:r>
      <w:r w:rsidRPr="00E54204">
        <w:rPr>
          <w:rFonts w:cs="Times New Roman"/>
          <w:szCs w:val="20"/>
        </w:rPr>
        <w:t>”</w:t>
      </w:r>
      <w:r w:rsidRPr="00E54204">
        <w:rPr>
          <w:rFonts w:cs="Times New Roman"/>
          <w:szCs w:val="20"/>
          <w:vertAlign w:val="superscript"/>
        </w:rPr>
        <w:footnoteReference w:id="98"/>
      </w:r>
      <w:r w:rsidR="004307E8" w:rsidRPr="00E54204">
        <w:rPr>
          <w:rFonts w:cs="Times New Roman"/>
          <w:szCs w:val="20"/>
        </w:rPr>
        <w:t xml:space="preserve">  However, Glatzer’s definition</w:t>
      </w:r>
      <w:r w:rsidRPr="00E54204">
        <w:rPr>
          <w:rFonts w:cs="Times New Roman"/>
          <w:szCs w:val="20"/>
        </w:rPr>
        <w:t xml:space="preserve"> may be pertinent to discussions of related forms of revelation and spiritual union also attested to at this time.</w:t>
      </w:r>
      <w:r w:rsidRPr="00E54204">
        <w:rPr>
          <w:rFonts w:cs="Times New Roman"/>
          <w:szCs w:val="20"/>
          <w:vertAlign w:val="superscript"/>
        </w:rPr>
        <w:footnoteReference w:id="99"/>
      </w:r>
      <w:r w:rsidRPr="00E54204">
        <w:rPr>
          <w:rFonts w:cs="Times New Roman"/>
          <w:szCs w:val="20"/>
        </w:rPr>
        <w:t xml:space="preserve">       </w:t>
      </w:r>
    </w:p>
    <w:p w14:paraId="68992437" w14:textId="77777777" w:rsidR="00AA1903" w:rsidRPr="00E54204" w:rsidRDefault="00CB0865" w:rsidP="00AA1903">
      <w:pPr>
        <w:spacing w:after="160"/>
        <w:rPr>
          <w:rFonts w:cs="Times New Roman"/>
          <w:b/>
          <w:szCs w:val="20"/>
        </w:rPr>
      </w:pPr>
      <w:r w:rsidRPr="00E54204">
        <w:rPr>
          <w:rFonts w:cs="Times New Roman"/>
          <w:b/>
          <w:szCs w:val="20"/>
        </w:rPr>
        <w:t>XIV.</w:t>
      </w:r>
      <w:r w:rsidRPr="00E54204">
        <w:rPr>
          <w:rFonts w:cs="Times New Roman"/>
          <w:b/>
          <w:szCs w:val="20"/>
        </w:rPr>
        <w:tab/>
      </w:r>
      <w:r w:rsidR="00AA1903" w:rsidRPr="00E54204">
        <w:rPr>
          <w:rFonts w:cs="Times New Roman"/>
          <w:b/>
          <w:i/>
          <w:szCs w:val="20"/>
        </w:rPr>
        <w:t>Revelation and Mystery in Ancient Judaism and Pauline Christianity</w:t>
      </w:r>
      <w:r w:rsidR="00AA1903" w:rsidRPr="00E54204">
        <w:rPr>
          <w:rFonts w:cs="Times New Roman"/>
          <w:b/>
          <w:szCs w:val="20"/>
        </w:rPr>
        <w:t xml:space="preserve"> by Mark</w:t>
      </w:r>
      <w:r w:rsidR="00CF5555" w:rsidRPr="00E54204">
        <w:rPr>
          <w:rFonts w:cs="Times New Roman"/>
          <w:b/>
          <w:szCs w:val="20"/>
        </w:rPr>
        <w:t>us</w:t>
      </w:r>
      <w:r w:rsidR="00AA1903" w:rsidRPr="00E54204">
        <w:rPr>
          <w:rFonts w:cs="Times New Roman"/>
          <w:b/>
          <w:szCs w:val="20"/>
        </w:rPr>
        <w:t xml:space="preserve"> Bockmuehl (1990)</w:t>
      </w:r>
    </w:p>
    <w:p w14:paraId="560F516F" w14:textId="77777777" w:rsidR="00AA1903" w:rsidRPr="00E54204" w:rsidRDefault="00AA1903" w:rsidP="001C5647">
      <w:pPr>
        <w:spacing w:after="160"/>
        <w:ind w:firstLine="720"/>
        <w:rPr>
          <w:rFonts w:cs="Times New Roman"/>
          <w:szCs w:val="20"/>
        </w:rPr>
      </w:pPr>
      <w:r w:rsidRPr="00E54204">
        <w:rPr>
          <w:rFonts w:cs="Times New Roman"/>
          <w:szCs w:val="20"/>
        </w:rPr>
        <w:t xml:space="preserve">Markus Bockmuehl in, </w:t>
      </w:r>
      <w:r w:rsidRPr="00E54204">
        <w:rPr>
          <w:rFonts w:cs="Times New Roman"/>
          <w:i/>
          <w:szCs w:val="20"/>
        </w:rPr>
        <w:t>Revelation and Mystery in Ancient Judaism and Pauline Christianity</w:t>
      </w:r>
      <w:r w:rsidRPr="00E54204">
        <w:rPr>
          <w:rFonts w:cs="Times New Roman"/>
          <w:szCs w:val="20"/>
        </w:rPr>
        <w:t>, asserts that the “voice from heaven” served various functions like providing direction in matters of controvers</w:t>
      </w:r>
      <w:r w:rsidR="00133478" w:rsidRPr="00E54204">
        <w:rPr>
          <w:rFonts w:cs="Times New Roman"/>
          <w:szCs w:val="20"/>
        </w:rPr>
        <w:t>y</w:t>
      </w:r>
      <w:r w:rsidR="001C5647" w:rsidRPr="00E54204">
        <w:rPr>
          <w:rFonts w:cs="Times New Roman"/>
          <w:szCs w:val="20"/>
        </w:rPr>
        <w:t>, declaring</w:t>
      </w:r>
      <w:r w:rsidRPr="00E54204">
        <w:rPr>
          <w:rFonts w:cs="Times New Roman"/>
          <w:szCs w:val="20"/>
        </w:rPr>
        <w:t xml:space="preserve"> God’s will on a particular matter, an</w:t>
      </w:r>
      <w:r w:rsidR="001C5647" w:rsidRPr="00E54204">
        <w:rPr>
          <w:rFonts w:cs="Times New Roman"/>
          <w:szCs w:val="20"/>
        </w:rPr>
        <w:t>d</w:t>
      </w:r>
      <w:r w:rsidRPr="00E54204">
        <w:rPr>
          <w:rFonts w:cs="Times New Roman"/>
          <w:szCs w:val="20"/>
        </w:rPr>
        <w:t xml:space="preserve"> </w:t>
      </w:r>
      <w:r w:rsidRPr="00E54204">
        <w:rPr>
          <w:rFonts w:cs="Times New Roman"/>
          <w:szCs w:val="20"/>
        </w:rPr>
        <w:lastRenderedPageBreak/>
        <w:t>answering or informing individuals of God’s will.</w:t>
      </w:r>
      <w:r w:rsidRPr="00E54204">
        <w:rPr>
          <w:rFonts w:cs="Times New Roman"/>
          <w:szCs w:val="20"/>
          <w:vertAlign w:val="superscript"/>
        </w:rPr>
        <w:footnoteReference w:id="100"/>
      </w:r>
      <w:r w:rsidRPr="00E54204">
        <w:rPr>
          <w:rFonts w:cs="Times New Roman"/>
          <w:szCs w:val="20"/>
        </w:rPr>
        <w:t xml:space="preserve">  He also echoes Lieberman’s view that it resembled divination.</w:t>
      </w:r>
      <w:r w:rsidRPr="00E54204">
        <w:rPr>
          <w:rFonts w:cs="Times New Roman"/>
          <w:szCs w:val="20"/>
          <w:vertAlign w:val="superscript"/>
        </w:rPr>
        <w:footnoteReference w:id="101"/>
      </w:r>
      <w:r w:rsidRPr="00E54204">
        <w:rPr>
          <w:rFonts w:cs="Times New Roman"/>
          <w:szCs w:val="20"/>
        </w:rPr>
        <w:t xml:space="preserve">  Furthermore, he does not consider it to be a direct continuation in the line of Biblical prophecy.</w:t>
      </w:r>
      <w:r w:rsidRPr="00E54204">
        <w:rPr>
          <w:rFonts w:cs="Times New Roman"/>
          <w:szCs w:val="20"/>
          <w:vertAlign w:val="superscript"/>
        </w:rPr>
        <w:footnoteReference w:id="102"/>
      </w:r>
      <w:r w:rsidRPr="00E54204">
        <w:rPr>
          <w:rFonts w:cs="Times New Roman"/>
          <w:szCs w:val="20"/>
        </w:rPr>
        <w:t xml:space="preserve">  Though the rabbis interpreted it to have limited authority, and thus unable </w:t>
      </w:r>
      <w:r w:rsidR="00E57CE7" w:rsidRPr="00E54204">
        <w:rPr>
          <w:rFonts w:cs="Times New Roman"/>
          <w:szCs w:val="20"/>
        </w:rPr>
        <w:t xml:space="preserve">to influence in matters like </w:t>
      </w:r>
      <w:r w:rsidRPr="00E54204">
        <w:rPr>
          <w:rFonts w:cs="Times New Roman"/>
          <w:szCs w:val="20"/>
        </w:rPr>
        <w:t xml:space="preserve">legislating </w:t>
      </w:r>
      <w:r w:rsidR="00EF69C7" w:rsidRPr="00E54204">
        <w:rPr>
          <w:rFonts w:cs="Times New Roman"/>
          <w:i/>
          <w:szCs w:val="20"/>
        </w:rPr>
        <w:t>Halac</w:t>
      </w:r>
      <w:r w:rsidRPr="00E54204">
        <w:rPr>
          <w:rFonts w:cs="Times New Roman"/>
          <w:i/>
          <w:szCs w:val="20"/>
        </w:rPr>
        <w:t>ha</w:t>
      </w:r>
      <w:r w:rsidR="00133478" w:rsidRPr="00E54204">
        <w:rPr>
          <w:rFonts w:cs="Times New Roman"/>
          <w:szCs w:val="20"/>
        </w:rPr>
        <w:t xml:space="preserve">, Bockmuehl remarks there was the exception of permitting a widow to remarry on the basis of a </w:t>
      </w:r>
      <w:r w:rsidR="00133478" w:rsidRPr="00E54204">
        <w:rPr>
          <w:rFonts w:cs="Times New Roman"/>
          <w:i/>
          <w:szCs w:val="20"/>
        </w:rPr>
        <w:t>bat kol</w:t>
      </w:r>
      <w:r w:rsidRPr="00E54204">
        <w:rPr>
          <w:rFonts w:cs="Times New Roman"/>
          <w:szCs w:val="20"/>
        </w:rPr>
        <w:t>.</w:t>
      </w:r>
      <w:r w:rsidRPr="00E54204">
        <w:rPr>
          <w:rFonts w:cs="Times New Roman"/>
          <w:szCs w:val="20"/>
          <w:vertAlign w:val="superscript"/>
        </w:rPr>
        <w:footnoteReference w:id="103"/>
      </w:r>
      <w:r w:rsidRPr="00E54204">
        <w:rPr>
          <w:rFonts w:cs="Times New Roman"/>
          <w:szCs w:val="20"/>
        </w:rPr>
        <w:t xml:space="preserve"> </w:t>
      </w:r>
    </w:p>
    <w:p w14:paraId="24B3E80B" w14:textId="77777777" w:rsidR="00AA1903" w:rsidRPr="00E54204" w:rsidRDefault="00CB0865" w:rsidP="00AA1903">
      <w:pPr>
        <w:spacing w:after="160"/>
        <w:rPr>
          <w:rFonts w:cs="Times New Roman"/>
          <w:b/>
          <w:szCs w:val="20"/>
        </w:rPr>
      </w:pPr>
      <w:r w:rsidRPr="00E54204">
        <w:rPr>
          <w:rFonts w:cs="Times New Roman"/>
          <w:b/>
          <w:szCs w:val="20"/>
        </w:rPr>
        <w:t>XV.</w:t>
      </w:r>
      <w:r w:rsidRPr="00E54204">
        <w:rPr>
          <w:rFonts w:cs="Times New Roman"/>
          <w:b/>
          <w:szCs w:val="20"/>
        </w:rPr>
        <w:tab/>
      </w:r>
      <w:r w:rsidR="00AA1903" w:rsidRPr="00E54204">
        <w:rPr>
          <w:rFonts w:cs="Times New Roman"/>
          <w:b/>
          <w:i/>
          <w:szCs w:val="20"/>
        </w:rPr>
        <w:t>Prophetic Figures in Late Second Temple Jewish Palestine</w:t>
      </w:r>
      <w:r w:rsidR="00AA1903" w:rsidRPr="00E54204">
        <w:rPr>
          <w:rFonts w:cs="Times New Roman"/>
          <w:b/>
          <w:szCs w:val="20"/>
        </w:rPr>
        <w:t xml:space="preserve"> by Rebecca Gray (1993)</w:t>
      </w:r>
    </w:p>
    <w:p w14:paraId="24D9A3DF" w14:textId="77777777" w:rsidR="0010599B" w:rsidRPr="00E54204" w:rsidRDefault="00AA1903" w:rsidP="00AA1903">
      <w:pPr>
        <w:spacing w:after="160"/>
        <w:rPr>
          <w:rFonts w:cs="Times New Roman"/>
          <w:szCs w:val="20"/>
        </w:rPr>
      </w:pPr>
      <w:r w:rsidRPr="00E54204">
        <w:rPr>
          <w:rFonts w:cs="Times New Roman"/>
          <w:b/>
          <w:szCs w:val="20"/>
        </w:rPr>
        <w:tab/>
      </w:r>
      <w:r w:rsidRPr="00E54204">
        <w:rPr>
          <w:rFonts w:cs="Times New Roman"/>
          <w:szCs w:val="20"/>
        </w:rPr>
        <w:t xml:space="preserve">Rebecca Gray makes note of the </w:t>
      </w:r>
      <w:r w:rsidRPr="00E54204">
        <w:rPr>
          <w:rFonts w:cs="Times New Roman"/>
          <w:i/>
          <w:szCs w:val="20"/>
        </w:rPr>
        <w:t xml:space="preserve">bat kol </w:t>
      </w:r>
      <w:r w:rsidRPr="00E54204">
        <w:rPr>
          <w:rFonts w:cs="Times New Roman"/>
          <w:szCs w:val="20"/>
        </w:rPr>
        <w:t xml:space="preserve">in passing in her section on the prophetic figure of </w:t>
      </w:r>
      <w:r w:rsidRPr="00E54204">
        <w:rPr>
          <w:rFonts w:cs="Times New Roman"/>
          <w:i/>
          <w:szCs w:val="20"/>
        </w:rPr>
        <w:t>Jesus Son of Ananias</w:t>
      </w:r>
      <w:r w:rsidRPr="00E54204">
        <w:rPr>
          <w:rFonts w:cs="Times New Roman"/>
          <w:szCs w:val="20"/>
        </w:rPr>
        <w:t>.</w:t>
      </w:r>
      <w:r w:rsidRPr="00E54204">
        <w:rPr>
          <w:rFonts w:cs="Times New Roman"/>
          <w:szCs w:val="20"/>
          <w:vertAlign w:val="superscript"/>
        </w:rPr>
        <w:footnoteReference w:id="104"/>
      </w:r>
      <w:r w:rsidRPr="00E54204">
        <w:rPr>
          <w:rFonts w:cs="Times New Roman"/>
          <w:szCs w:val="20"/>
        </w:rPr>
        <w:t xml:space="preserve">  Ac</w:t>
      </w:r>
      <w:r w:rsidR="00E57CE7" w:rsidRPr="00E54204">
        <w:rPr>
          <w:rFonts w:cs="Times New Roman"/>
          <w:szCs w:val="20"/>
        </w:rPr>
        <w:t>cording to Josephus, this person</w:t>
      </w:r>
      <w:r w:rsidRPr="00E54204">
        <w:rPr>
          <w:rFonts w:cs="Times New Roman"/>
          <w:szCs w:val="20"/>
        </w:rPr>
        <w:t xml:space="preserve"> started decrying the impending destruction of Jerusalem around the </w:t>
      </w:r>
      <w:r w:rsidR="00A3523A" w:rsidRPr="00E54204">
        <w:rPr>
          <w:rFonts w:cs="Times New Roman"/>
          <w:szCs w:val="20"/>
        </w:rPr>
        <w:t>year 62 CE.  His oracle contained</w:t>
      </w:r>
      <w:r w:rsidRPr="00E54204">
        <w:rPr>
          <w:rFonts w:cs="Times New Roman"/>
          <w:szCs w:val="20"/>
        </w:rPr>
        <w:t xml:space="preserve"> six verses, each beginning with the phrase “a voice” and then proceeding to articulate the oracle.</w:t>
      </w:r>
      <w:r w:rsidRPr="00E54204">
        <w:rPr>
          <w:rFonts w:cs="Times New Roman"/>
          <w:szCs w:val="20"/>
          <w:vertAlign w:val="superscript"/>
        </w:rPr>
        <w:footnoteReference w:id="105"/>
      </w:r>
      <w:r w:rsidRPr="00E54204">
        <w:rPr>
          <w:rFonts w:cs="Times New Roman"/>
          <w:szCs w:val="20"/>
        </w:rPr>
        <w:t xml:space="preserve">  Consequently, and rightly so I would add, Rebecca Gray</w:t>
      </w:r>
      <w:r w:rsidR="00A3523A" w:rsidRPr="00E54204">
        <w:rPr>
          <w:rFonts w:cs="Times New Roman"/>
          <w:szCs w:val="20"/>
        </w:rPr>
        <w:t xml:space="preserve"> interprets this anonymous “voice”</w:t>
      </w:r>
      <w:r w:rsidRPr="00E54204">
        <w:rPr>
          <w:rFonts w:cs="Times New Roman"/>
          <w:szCs w:val="20"/>
        </w:rPr>
        <w:t xml:space="preserve"> as synonymous with the </w:t>
      </w:r>
      <w:r w:rsidRPr="00E54204">
        <w:rPr>
          <w:rFonts w:cs="Times New Roman"/>
          <w:i/>
          <w:szCs w:val="20"/>
        </w:rPr>
        <w:t>bat kol</w:t>
      </w:r>
      <w:r w:rsidRPr="00E54204">
        <w:rPr>
          <w:rFonts w:cs="Times New Roman"/>
          <w:szCs w:val="20"/>
        </w:rPr>
        <w:t xml:space="preserve">, since it so well attested in the </w:t>
      </w:r>
      <w:r w:rsidRPr="00E54204">
        <w:rPr>
          <w:rFonts w:cs="Times New Roman"/>
          <w:szCs w:val="20"/>
        </w:rPr>
        <w:lastRenderedPageBreak/>
        <w:t>li</w:t>
      </w:r>
      <w:r w:rsidR="00133478" w:rsidRPr="00E54204">
        <w:rPr>
          <w:rFonts w:cs="Times New Roman"/>
          <w:szCs w:val="20"/>
        </w:rPr>
        <w:t>terature of that period.  She recognizes that it is perceived</w:t>
      </w:r>
      <w:r w:rsidRPr="00E54204">
        <w:rPr>
          <w:rFonts w:cs="Times New Roman"/>
          <w:szCs w:val="20"/>
        </w:rPr>
        <w:t xml:space="preserve"> to have operated as a kind of substitute of God’s prophetic word, during a time where such prophecy was non-existent.  However, based on David Aune’s research in Second Temple texts, she deduces that “voice” can safely be interpreted as “the voice of God.”</w:t>
      </w:r>
      <w:r w:rsidRPr="00E54204">
        <w:rPr>
          <w:rFonts w:cs="Times New Roman"/>
          <w:szCs w:val="20"/>
          <w:vertAlign w:val="superscript"/>
        </w:rPr>
        <w:footnoteReference w:id="106"/>
      </w:r>
      <w:r w:rsidRPr="00E54204">
        <w:rPr>
          <w:rFonts w:cs="Times New Roman"/>
          <w:szCs w:val="20"/>
        </w:rPr>
        <w:t xml:space="preserve">  Hence, per Aune, Jesus’ reference to “a voice” maybe understood to be none other than God’s voice.  </w:t>
      </w:r>
    </w:p>
    <w:p w14:paraId="4C706C7D" w14:textId="77777777" w:rsidR="00AA1903" w:rsidRPr="00E54204" w:rsidRDefault="00AA1903" w:rsidP="0010599B">
      <w:pPr>
        <w:spacing w:after="160"/>
        <w:ind w:firstLine="720"/>
        <w:rPr>
          <w:rFonts w:cs="Times New Roman"/>
          <w:szCs w:val="20"/>
        </w:rPr>
      </w:pPr>
      <w:r w:rsidRPr="00E54204">
        <w:rPr>
          <w:rFonts w:cs="Times New Roman"/>
          <w:szCs w:val="20"/>
        </w:rPr>
        <w:t>The point of including this detail is to suggest that de</w:t>
      </w:r>
      <w:r w:rsidR="00A3523A" w:rsidRPr="00E54204">
        <w:rPr>
          <w:rFonts w:cs="Times New Roman"/>
          <w:szCs w:val="20"/>
        </w:rPr>
        <w:t xml:space="preserve">spite the substitutionary role </w:t>
      </w:r>
      <w:r w:rsidRPr="00E54204">
        <w:rPr>
          <w:rFonts w:cs="Times New Roman"/>
          <w:szCs w:val="20"/>
        </w:rPr>
        <w:t xml:space="preserve">Gray and others have ascribed to the </w:t>
      </w:r>
      <w:r w:rsidRPr="00E54204">
        <w:rPr>
          <w:rFonts w:cs="Times New Roman"/>
          <w:i/>
          <w:szCs w:val="20"/>
        </w:rPr>
        <w:t>bat kol</w:t>
      </w:r>
      <w:r w:rsidRPr="00E54204">
        <w:rPr>
          <w:rFonts w:cs="Times New Roman"/>
          <w:szCs w:val="20"/>
        </w:rPr>
        <w:t xml:space="preserve">, one cannot completely remove it as being a form of divine communication.  Perhaps, the modification </w:t>
      </w:r>
      <w:r w:rsidRPr="00E54204">
        <w:rPr>
          <w:rFonts w:cs="Times New Roman"/>
          <w:i/>
          <w:szCs w:val="20"/>
        </w:rPr>
        <w:t>bat</w:t>
      </w:r>
      <w:r w:rsidR="00AD064A" w:rsidRPr="00E54204">
        <w:rPr>
          <w:rFonts w:cs="Times New Roman"/>
          <w:szCs w:val="20"/>
        </w:rPr>
        <w:t xml:space="preserve"> </w:t>
      </w:r>
      <w:r w:rsidRPr="00E54204">
        <w:rPr>
          <w:rFonts w:cs="Times New Roman"/>
          <w:szCs w:val="20"/>
        </w:rPr>
        <w:t>was employed because of the uncertainty of the person relaying the message (in case it was not God), nevertheless it was understood to be expressing God’s will or judgment.  What is intriguing is that this f</w:t>
      </w:r>
      <w:r w:rsidR="00AD064A" w:rsidRPr="00E54204">
        <w:rPr>
          <w:rFonts w:cs="Times New Roman"/>
          <w:szCs w:val="20"/>
        </w:rPr>
        <w:t>orm of communication can evoke</w:t>
      </w:r>
      <w:r w:rsidRPr="00E54204">
        <w:rPr>
          <w:rFonts w:cs="Times New Roman"/>
          <w:szCs w:val="20"/>
        </w:rPr>
        <w:t xml:space="preserve"> complete awe and fe</w:t>
      </w:r>
      <w:r w:rsidR="006362F4" w:rsidRPr="00E54204">
        <w:rPr>
          <w:rFonts w:cs="Times New Roman"/>
          <w:szCs w:val="20"/>
        </w:rPr>
        <w:t>ar in the listener, in its random appearances</w:t>
      </w:r>
      <w:r w:rsidRPr="00E54204">
        <w:rPr>
          <w:rFonts w:cs="Times New Roman"/>
          <w:szCs w:val="20"/>
        </w:rPr>
        <w:t>, while on the other hand it may be dismissed, misconstrued, or ignored as being merely another voice from the crowd (though there are not many instances in rabbinic literature to support this reaction).  Hence, it both presumes to confirm God’s absence of direct revelation (i.e. Holy Spirit) yet it also confirms God’s ongoing communication in an oblique manner.</w:t>
      </w:r>
      <w:r w:rsidRPr="00E54204">
        <w:rPr>
          <w:rFonts w:cs="Times New Roman"/>
          <w:szCs w:val="20"/>
          <w:vertAlign w:val="superscript"/>
        </w:rPr>
        <w:footnoteReference w:id="107"/>
      </w:r>
    </w:p>
    <w:p w14:paraId="0FFEE662" w14:textId="77777777" w:rsidR="00C601CF" w:rsidRPr="00E54204" w:rsidRDefault="00C601CF" w:rsidP="0010599B">
      <w:pPr>
        <w:spacing w:after="160"/>
        <w:ind w:firstLine="720"/>
        <w:rPr>
          <w:rFonts w:cs="Times New Roman"/>
          <w:szCs w:val="20"/>
        </w:rPr>
      </w:pPr>
    </w:p>
    <w:p w14:paraId="40D8F174" w14:textId="77777777" w:rsidR="00AA1903" w:rsidRPr="00E54204" w:rsidRDefault="00CB0865" w:rsidP="00AA1903">
      <w:pPr>
        <w:spacing w:after="160"/>
        <w:rPr>
          <w:rFonts w:cs="Times New Roman"/>
          <w:b/>
          <w:szCs w:val="20"/>
        </w:rPr>
      </w:pPr>
      <w:r w:rsidRPr="00E54204">
        <w:rPr>
          <w:rFonts w:cs="Times New Roman"/>
          <w:b/>
          <w:szCs w:val="20"/>
        </w:rPr>
        <w:lastRenderedPageBreak/>
        <w:t>XVI.</w:t>
      </w:r>
      <w:r w:rsidRPr="00E54204">
        <w:rPr>
          <w:rFonts w:cs="Times New Roman"/>
          <w:b/>
          <w:szCs w:val="20"/>
        </w:rPr>
        <w:tab/>
      </w:r>
      <w:r w:rsidR="00AA1903" w:rsidRPr="00E54204">
        <w:rPr>
          <w:rFonts w:cs="Times New Roman"/>
          <w:b/>
          <w:i/>
          <w:szCs w:val="20"/>
        </w:rPr>
        <w:t>The Sinner and the Amnesiac</w:t>
      </w:r>
      <w:r w:rsidR="00AA1903" w:rsidRPr="00E54204">
        <w:rPr>
          <w:rFonts w:cs="Times New Roman"/>
          <w:b/>
          <w:szCs w:val="20"/>
        </w:rPr>
        <w:t xml:space="preserve"> by Alon Goshen Gottstein (2000)</w:t>
      </w:r>
    </w:p>
    <w:p w14:paraId="5DB3BD4A" w14:textId="77777777" w:rsidR="00244540" w:rsidRPr="00E54204" w:rsidRDefault="00AA1903" w:rsidP="004D6D82">
      <w:pPr>
        <w:spacing w:after="160"/>
        <w:ind w:firstLine="720"/>
        <w:rPr>
          <w:rFonts w:cs="Times New Roman"/>
          <w:szCs w:val="20"/>
        </w:rPr>
      </w:pPr>
      <w:r w:rsidRPr="00E54204">
        <w:rPr>
          <w:rFonts w:cs="Times New Roman"/>
          <w:szCs w:val="20"/>
        </w:rPr>
        <w:t xml:space="preserve">Alon Gottstein discusses the </w:t>
      </w:r>
      <w:r w:rsidRPr="00E54204">
        <w:rPr>
          <w:rFonts w:cs="Times New Roman"/>
          <w:i/>
          <w:szCs w:val="20"/>
        </w:rPr>
        <w:t>bat kol</w:t>
      </w:r>
      <w:r w:rsidRPr="00E54204">
        <w:rPr>
          <w:rFonts w:cs="Times New Roman"/>
          <w:szCs w:val="20"/>
        </w:rPr>
        <w:t xml:space="preserve"> throughout portions of his book, </w:t>
      </w:r>
      <w:r w:rsidRPr="00E54204">
        <w:rPr>
          <w:rFonts w:cs="Times New Roman"/>
          <w:i/>
          <w:szCs w:val="20"/>
        </w:rPr>
        <w:t>The Sinner and The Amnesiac: the Rabbinic Invention of Elisha Ben Abuya and Eleazar Ben Arach</w:t>
      </w:r>
      <w:r w:rsidRPr="00E54204">
        <w:rPr>
          <w:rFonts w:cs="Times New Roman"/>
          <w:szCs w:val="20"/>
        </w:rPr>
        <w:t xml:space="preserve">.  In interpreting the story of the oven </w:t>
      </w:r>
      <w:r w:rsidR="001D3389" w:rsidRPr="00E54204">
        <w:rPr>
          <w:rFonts w:cs="Times New Roman"/>
          <w:szCs w:val="20"/>
        </w:rPr>
        <w:t>of “Aknai”</w:t>
      </w:r>
      <w:r w:rsidRPr="00E54204">
        <w:rPr>
          <w:rFonts w:cs="Times New Roman"/>
          <w:szCs w:val="20"/>
        </w:rPr>
        <w:t xml:space="preserve"> where R. Eliezer ben Hyrcanus is excommunicated, he views the </w:t>
      </w:r>
      <w:r w:rsidRPr="00E54204">
        <w:rPr>
          <w:rFonts w:cs="Times New Roman"/>
          <w:i/>
          <w:szCs w:val="20"/>
        </w:rPr>
        <w:t>bat kol</w:t>
      </w:r>
      <w:r w:rsidRPr="00E54204">
        <w:rPr>
          <w:rFonts w:cs="Times New Roman"/>
          <w:szCs w:val="20"/>
        </w:rPr>
        <w:t xml:space="preserve"> as heavenly</w:t>
      </w:r>
      <w:r w:rsidR="001D3389" w:rsidRPr="00E54204">
        <w:rPr>
          <w:rFonts w:cs="Times New Roman"/>
          <w:szCs w:val="20"/>
        </w:rPr>
        <w:t xml:space="preserve"> and</w:t>
      </w:r>
      <w:r w:rsidRPr="00E54204">
        <w:rPr>
          <w:rFonts w:cs="Times New Roman"/>
          <w:szCs w:val="20"/>
        </w:rPr>
        <w:t xml:space="preserve"> yet distinct from God.</w:t>
      </w:r>
      <w:r w:rsidRPr="00E54204">
        <w:rPr>
          <w:rFonts w:cs="Times New Roman"/>
          <w:szCs w:val="20"/>
          <w:vertAlign w:val="superscript"/>
        </w:rPr>
        <w:footnoteReference w:id="108"/>
      </w:r>
      <w:r w:rsidR="00BD7418" w:rsidRPr="00E54204">
        <w:rPr>
          <w:rFonts w:cs="Times New Roman"/>
          <w:szCs w:val="20"/>
        </w:rPr>
        <w:t xml:space="preserve">  I will discuss this story in more detail in the “Categories”</w:t>
      </w:r>
      <w:r w:rsidR="00244540" w:rsidRPr="00E54204">
        <w:rPr>
          <w:rFonts w:cs="Times New Roman"/>
          <w:szCs w:val="20"/>
        </w:rPr>
        <w:t xml:space="preserve"> chapter.  For now I wish to layout a basic outline of the story: t</w:t>
      </w:r>
      <w:r w:rsidR="00BD7418" w:rsidRPr="00E54204">
        <w:rPr>
          <w:rFonts w:cs="Times New Roman"/>
          <w:szCs w:val="20"/>
        </w:rPr>
        <w:t xml:space="preserve">he rabbis gathered to decide whether an oven cut into pieces was ritually clean or unclean.  R. Eliezer was of the position that it remained clean while the rest of the sages ruled unclean.  A heated debate </w:t>
      </w:r>
      <w:r w:rsidR="00244540" w:rsidRPr="00E54204">
        <w:rPr>
          <w:rFonts w:cs="Times New Roman"/>
          <w:szCs w:val="20"/>
        </w:rPr>
        <w:t>ensued and</w:t>
      </w:r>
      <w:r w:rsidR="00BD7418" w:rsidRPr="00E54204">
        <w:rPr>
          <w:rFonts w:cs="Times New Roman"/>
          <w:szCs w:val="20"/>
        </w:rPr>
        <w:t xml:space="preserve"> R. Eliezer</w:t>
      </w:r>
      <w:r w:rsidR="00244540" w:rsidRPr="00E54204">
        <w:rPr>
          <w:rFonts w:cs="Times New Roman"/>
          <w:szCs w:val="20"/>
        </w:rPr>
        <w:t>’s arguments were rejected.  This is followed by miraculous feats which backed</w:t>
      </w:r>
      <w:r w:rsidR="00BD7418" w:rsidRPr="00E54204">
        <w:rPr>
          <w:rFonts w:cs="Times New Roman"/>
          <w:szCs w:val="20"/>
        </w:rPr>
        <w:t xml:space="preserve"> R. Eliezer’s authority on the matter.  Each sign is adamantly rejected by the rabbis including</w:t>
      </w:r>
      <w:r w:rsidR="00244540" w:rsidRPr="00E54204">
        <w:rPr>
          <w:rFonts w:cs="Times New Roman"/>
          <w:szCs w:val="20"/>
        </w:rPr>
        <w:t>, ultimately,</w:t>
      </w:r>
      <w:r w:rsidR="00BD7418" w:rsidRPr="00E54204">
        <w:rPr>
          <w:rFonts w:cs="Times New Roman"/>
          <w:szCs w:val="20"/>
        </w:rPr>
        <w:t xml:space="preserve"> the </w:t>
      </w:r>
      <w:r w:rsidR="00BD7418" w:rsidRPr="00E54204">
        <w:rPr>
          <w:rFonts w:cs="Times New Roman"/>
          <w:i/>
          <w:szCs w:val="20"/>
        </w:rPr>
        <w:t>bat kol</w:t>
      </w:r>
      <w:r w:rsidR="00BD7418" w:rsidRPr="00E54204">
        <w:rPr>
          <w:rFonts w:cs="Times New Roman"/>
          <w:szCs w:val="20"/>
        </w:rPr>
        <w:t>.</w:t>
      </w:r>
      <w:r w:rsidR="00244540" w:rsidRPr="00E54204">
        <w:rPr>
          <w:rFonts w:cs="Times New Roman"/>
          <w:szCs w:val="20"/>
        </w:rPr>
        <w:t xml:space="preserve">  </w:t>
      </w:r>
    </w:p>
    <w:p w14:paraId="5371AB08" w14:textId="77777777" w:rsidR="00AA1903" w:rsidRPr="00E54204" w:rsidRDefault="0025334C" w:rsidP="0025334C">
      <w:pPr>
        <w:spacing w:after="160"/>
        <w:ind w:firstLine="720"/>
        <w:rPr>
          <w:rFonts w:cs="Times New Roman"/>
          <w:szCs w:val="20"/>
        </w:rPr>
      </w:pPr>
      <w:r w:rsidRPr="00E54204">
        <w:rPr>
          <w:rFonts w:cs="Times New Roman"/>
          <w:szCs w:val="20"/>
        </w:rPr>
        <w:t>Gottstein</w:t>
      </w:r>
      <w:r w:rsidR="00AA1903" w:rsidRPr="00E54204">
        <w:rPr>
          <w:rFonts w:cs="Times New Roman"/>
          <w:szCs w:val="20"/>
        </w:rPr>
        <w:t xml:space="preserve"> proposes two main functions that can be ascribed to the “voice from heaven.”  The first is a calling to</w:t>
      </w:r>
      <w:r w:rsidR="001D3389" w:rsidRPr="00E54204">
        <w:rPr>
          <w:rFonts w:cs="Times New Roman"/>
          <w:szCs w:val="20"/>
        </w:rPr>
        <w:t xml:space="preserve"> participate in holy activities</w:t>
      </w:r>
      <w:r w:rsidR="00AA1903" w:rsidRPr="00E54204">
        <w:rPr>
          <w:rFonts w:cs="Times New Roman"/>
          <w:szCs w:val="20"/>
        </w:rPr>
        <w:t xml:space="preserve"> like Torah study.</w:t>
      </w:r>
      <w:r w:rsidR="00AA1903" w:rsidRPr="00E54204">
        <w:rPr>
          <w:rFonts w:cs="Times New Roman"/>
          <w:szCs w:val="20"/>
          <w:vertAlign w:val="superscript"/>
        </w:rPr>
        <w:footnoteReference w:id="109"/>
      </w:r>
      <w:r w:rsidR="00AA1903" w:rsidRPr="00E54204">
        <w:rPr>
          <w:rFonts w:cs="Times New Roman"/>
          <w:szCs w:val="20"/>
        </w:rPr>
        <w:t xml:space="preserve">  R. Joshua ben Levi (middle third-century CE) is attributed to have stated, “Every day a divine voice [bat kol] goes forth from mou</w:t>
      </w:r>
      <w:r w:rsidR="00BA49D9" w:rsidRPr="00E54204">
        <w:rPr>
          <w:rFonts w:cs="Times New Roman"/>
          <w:szCs w:val="20"/>
        </w:rPr>
        <w:t>nt Horeb, proclaiming and saying</w:t>
      </w:r>
      <w:r w:rsidR="00AA1903" w:rsidRPr="00E54204">
        <w:rPr>
          <w:rFonts w:cs="Times New Roman"/>
          <w:szCs w:val="20"/>
        </w:rPr>
        <w:t>, ‘Woe to mankind for their contempt of the Law!’</w:t>
      </w:r>
      <w:r w:rsidR="00AA1903" w:rsidRPr="00E54204">
        <w:rPr>
          <w:rFonts w:cs="Times New Roman"/>
          <w:szCs w:val="20"/>
          <w:vertAlign w:val="superscript"/>
        </w:rPr>
        <w:footnoteReference w:id="110"/>
      </w:r>
      <w:r w:rsidR="00AA1903" w:rsidRPr="00E54204">
        <w:rPr>
          <w:rFonts w:cs="Times New Roman"/>
          <w:szCs w:val="20"/>
        </w:rPr>
        <w:t xml:space="preserve">  A second and more pervasive function</w:t>
      </w:r>
      <w:r w:rsidR="00257BF7" w:rsidRPr="00E54204">
        <w:rPr>
          <w:rFonts w:cs="Times New Roman"/>
          <w:szCs w:val="20"/>
        </w:rPr>
        <w:t>,</w:t>
      </w:r>
      <w:r w:rsidR="00AA1903" w:rsidRPr="00E54204">
        <w:rPr>
          <w:rFonts w:cs="Times New Roman"/>
          <w:szCs w:val="20"/>
        </w:rPr>
        <w:t xml:space="preserve"> according to Gottstein, is revelation of the protagonist’</w:t>
      </w:r>
      <w:r w:rsidR="001D3389" w:rsidRPr="00E54204">
        <w:rPr>
          <w:rFonts w:cs="Times New Roman"/>
          <w:szCs w:val="20"/>
        </w:rPr>
        <w:t>s</w:t>
      </w:r>
      <w:r w:rsidR="00AA1903" w:rsidRPr="00E54204">
        <w:rPr>
          <w:rFonts w:cs="Times New Roman"/>
          <w:szCs w:val="20"/>
        </w:rPr>
        <w:t xml:space="preserve"> status either in the present world </w:t>
      </w:r>
      <w:r w:rsidR="00AA1903" w:rsidRPr="00E54204">
        <w:rPr>
          <w:rFonts w:cs="Times New Roman"/>
          <w:szCs w:val="20"/>
        </w:rPr>
        <w:lastRenderedPageBreak/>
        <w:t>or in the world-to-come.</w:t>
      </w:r>
      <w:r w:rsidR="00AA1903" w:rsidRPr="00E54204">
        <w:rPr>
          <w:rFonts w:cs="Times New Roman"/>
          <w:szCs w:val="20"/>
          <w:vertAlign w:val="superscript"/>
        </w:rPr>
        <w:footnoteReference w:id="111"/>
      </w:r>
      <w:r w:rsidR="00D34F35" w:rsidRPr="00E54204">
        <w:rPr>
          <w:rFonts w:cs="Times New Roman"/>
          <w:szCs w:val="20"/>
        </w:rPr>
        <w:t xml:space="preserve">  Glatzer and Marmorstein also mentioned the roles</w:t>
      </w:r>
      <w:r w:rsidR="00AA1903" w:rsidRPr="00E54204">
        <w:rPr>
          <w:rFonts w:cs="Times New Roman"/>
          <w:szCs w:val="20"/>
        </w:rPr>
        <w:t xml:space="preserve"> of the “heavenly voice” </w:t>
      </w:r>
      <w:r w:rsidR="00D34F35" w:rsidRPr="00E54204">
        <w:rPr>
          <w:rFonts w:cs="Times New Roman"/>
          <w:szCs w:val="20"/>
        </w:rPr>
        <w:t>in affirming status</w:t>
      </w:r>
      <w:r w:rsidR="00AA1903" w:rsidRPr="00E54204">
        <w:rPr>
          <w:rFonts w:cs="Times New Roman"/>
          <w:szCs w:val="20"/>
        </w:rPr>
        <w:t xml:space="preserve"> and merit in the present world</w:t>
      </w:r>
      <w:r w:rsidR="000F05DD" w:rsidRPr="00E54204">
        <w:rPr>
          <w:rFonts w:cs="Times New Roman"/>
          <w:szCs w:val="20"/>
        </w:rPr>
        <w:t xml:space="preserve"> and in the world-to-come; this function constitutes one of the categories in this thesis.</w:t>
      </w:r>
      <w:r w:rsidR="00AA1903" w:rsidRPr="00E54204">
        <w:rPr>
          <w:rFonts w:cs="Times New Roman"/>
          <w:szCs w:val="20"/>
        </w:rPr>
        <w:t xml:space="preserve">  </w:t>
      </w:r>
    </w:p>
    <w:p w14:paraId="4ABB2201" w14:textId="77777777" w:rsidR="00AA1903" w:rsidRPr="00E54204" w:rsidRDefault="00AA1903" w:rsidP="004D6D82">
      <w:pPr>
        <w:spacing w:after="160"/>
        <w:ind w:firstLine="720"/>
        <w:rPr>
          <w:rFonts w:cs="Times New Roman"/>
          <w:szCs w:val="20"/>
        </w:rPr>
      </w:pPr>
      <w:r w:rsidRPr="00E54204">
        <w:rPr>
          <w:rFonts w:cs="Times New Roman"/>
          <w:szCs w:val="20"/>
        </w:rPr>
        <w:t>Gottstein comments th</w:t>
      </w:r>
      <w:r w:rsidR="000B629A" w:rsidRPr="00E54204">
        <w:rPr>
          <w:rFonts w:cs="Times New Roman"/>
          <w:szCs w:val="20"/>
        </w:rPr>
        <w:t>at Elisha Ben Abuya is known as</w:t>
      </w:r>
      <w:r w:rsidRPr="00E54204">
        <w:rPr>
          <w:rFonts w:cs="Times New Roman"/>
          <w:szCs w:val="20"/>
        </w:rPr>
        <w:t xml:space="preserve"> “the only rabbinic figure who has come to be known as a sinner, an apostate, and a heretic.”</w:t>
      </w:r>
      <w:r w:rsidRPr="00E54204">
        <w:rPr>
          <w:rFonts w:cs="Times New Roman"/>
          <w:szCs w:val="20"/>
          <w:vertAlign w:val="superscript"/>
        </w:rPr>
        <w:footnoteReference w:id="112"/>
      </w:r>
      <w:r w:rsidRPr="00E54204">
        <w:rPr>
          <w:rFonts w:cs="Times New Roman"/>
          <w:szCs w:val="20"/>
        </w:rPr>
        <w:t xml:space="preserve">  Based on a careful comparison of the two variant readings</w:t>
      </w:r>
      <w:r w:rsidR="008D329C" w:rsidRPr="00E54204">
        <w:rPr>
          <w:rFonts w:cs="Times New Roman"/>
          <w:szCs w:val="20"/>
        </w:rPr>
        <w:t xml:space="preserve"> </w:t>
      </w:r>
      <w:r w:rsidRPr="00E54204">
        <w:rPr>
          <w:rFonts w:cs="Times New Roman"/>
          <w:szCs w:val="20"/>
        </w:rPr>
        <w:t>o</w:t>
      </w:r>
      <w:r w:rsidR="00F302E1" w:rsidRPr="00E54204">
        <w:rPr>
          <w:rFonts w:cs="Times New Roman"/>
          <w:szCs w:val="20"/>
        </w:rPr>
        <w:t>f the Elisha ben Abuya story,</w:t>
      </w:r>
      <w:r w:rsidR="00D80B35" w:rsidRPr="00E54204">
        <w:rPr>
          <w:rFonts w:cs="Times New Roman"/>
          <w:szCs w:val="20"/>
        </w:rPr>
        <w:t xml:space="preserve"> found in the Jerusalem</w:t>
      </w:r>
      <w:r w:rsidR="008D329C" w:rsidRPr="00E54204">
        <w:rPr>
          <w:rFonts w:cs="Times New Roman"/>
          <w:szCs w:val="20"/>
        </w:rPr>
        <w:t xml:space="preserve"> and Babylonian Talmudim,</w:t>
      </w:r>
      <w:r w:rsidR="00F302E1" w:rsidRPr="00E54204">
        <w:rPr>
          <w:rFonts w:cs="Times New Roman"/>
          <w:szCs w:val="20"/>
        </w:rPr>
        <w:t xml:space="preserve"> Gottstein notices</w:t>
      </w:r>
      <w:r w:rsidRPr="00E54204">
        <w:rPr>
          <w:rFonts w:cs="Times New Roman"/>
          <w:szCs w:val="20"/>
        </w:rPr>
        <w:t xml:space="preserve"> differences in how the </w:t>
      </w:r>
      <w:r w:rsidRPr="00E54204">
        <w:rPr>
          <w:rFonts w:cs="Times New Roman"/>
          <w:i/>
          <w:szCs w:val="20"/>
        </w:rPr>
        <w:t>bat kol</w:t>
      </w:r>
      <w:r w:rsidR="00E66125" w:rsidRPr="00E54204">
        <w:rPr>
          <w:rFonts w:cs="Times New Roman"/>
          <w:szCs w:val="20"/>
        </w:rPr>
        <w:t xml:space="preserve"> is </w:t>
      </w:r>
      <w:r w:rsidR="006A3E2A" w:rsidRPr="00E54204">
        <w:rPr>
          <w:rFonts w:cs="Times New Roman"/>
          <w:szCs w:val="20"/>
        </w:rPr>
        <w:t>employed in Talmudic writings</w:t>
      </w:r>
      <w:r w:rsidRPr="00E54204">
        <w:rPr>
          <w:rFonts w:cs="Times New Roman"/>
          <w:szCs w:val="20"/>
        </w:rPr>
        <w:t>.</w:t>
      </w:r>
      <w:r w:rsidRPr="00E54204">
        <w:rPr>
          <w:rFonts w:cs="Times New Roman"/>
          <w:szCs w:val="20"/>
          <w:vertAlign w:val="superscript"/>
        </w:rPr>
        <w:footnoteReference w:id="113"/>
      </w:r>
      <w:r w:rsidRPr="00E54204">
        <w:rPr>
          <w:rFonts w:cs="Times New Roman"/>
          <w:szCs w:val="20"/>
        </w:rPr>
        <w:t xml:space="preserve">  For instance, he espouses tha</w:t>
      </w:r>
      <w:r w:rsidR="000B629A" w:rsidRPr="00E54204">
        <w:rPr>
          <w:rFonts w:cs="Times New Roman"/>
          <w:szCs w:val="20"/>
        </w:rPr>
        <w:t>t in the Bavli</w:t>
      </w:r>
      <w:r w:rsidRPr="00E54204">
        <w:rPr>
          <w:rFonts w:cs="Times New Roman"/>
          <w:szCs w:val="20"/>
        </w:rPr>
        <w:t xml:space="preserve"> version the </w:t>
      </w:r>
      <w:r w:rsidRPr="00E54204">
        <w:rPr>
          <w:rFonts w:cs="Times New Roman"/>
          <w:i/>
          <w:szCs w:val="20"/>
        </w:rPr>
        <w:t>bat kol</w:t>
      </w:r>
      <w:r w:rsidRPr="00E54204">
        <w:rPr>
          <w:rFonts w:cs="Times New Roman"/>
          <w:szCs w:val="20"/>
        </w:rPr>
        <w:t xml:space="preserve"> is respected while in</w:t>
      </w:r>
      <w:r w:rsidR="000B629A" w:rsidRPr="00E54204">
        <w:rPr>
          <w:rFonts w:cs="Times New Roman"/>
          <w:szCs w:val="20"/>
        </w:rPr>
        <w:t xml:space="preserve"> the Yerushalmi</w:t>
      </w:r>
      <w:r w:rsidRPr="00E54204">
        <w:rPr>
          <w:rFonts w:cs="Times New Roman"/>
          <w:szCs w:val="20"/>
        </w:rPr>
        <w:t xml:space="preserve"> its</w:t>
      </w:r>
      <w:r w:rsidR="008F5DBC" w:rsidRPr="00E54204">
        <w:rPr>
          <w:rFonts w:cs="Times New Roman"/>
          <w:szCs w:val="20"/>
        </w:rPr>
        <w:t xml:space="preserve"> absence is indicative</w:t>
      </w:r>
      <w:r w:rsidRPr="00E54204">
        <w:rPr>
          <w:rFonts w:cs="Times New Roman"/>
          <w:szCs w:val="20"/>
        </w:rPr>
        <w:t xml:space="preserve"> </w:t>
      </w:r>
      <w:r w:rsidR="008F5DBC" w:rsidRPr="00E54204">
        <w:rPr>
          <w:rFonts w:cs="Times New Roman"/>
          <w:szCs w:val="20"/>
        </w:rPr>
        <w:t xml:space="preserve">that its </w:t>
      </w:r>
      <w:r w:rsidRPr="00E54204">
        <w:rPr>
          <w:rFonts w:cs="Times New Roman"/>
          <w:szCs w:val="20"/>
        </w:rPr>
        <w:t>significance is diminished,</w:t>
      </w:r>
      <w:r w:rsidRPr="00E54204">
        <w:rPr>
          <w:rFonts w:cs="Times New Roman"/>
          <w:szCs w:val="20"/>
          <w:vertAlign w:val="superscript"/>
        </w:rPr>
        <w:footnoteReference w:id="114"/>
      </w:r>
      <w:r w:rsidR="008F5DBC" w:rsidRPr="00E54204">
        <w:rPr>
          <w:rFonts w:cs="Times New Roman"/>
          <w:szCs w:val="20"/>
        </w:rPr>
        <w:t xml:space="preserve"> which according to Gottstein,</w:t>
      </w:r>
      <w:r w:rsidRPr="00E54204">
        <w:rPr>
          <w:rFonts w:cs="Times New Roman"/>
          <w:szCs w:val="20"/>
        </w:rPr>
        <w:t xml:space="preserve"> is due to the</w:t>
      </w:r>
      <w:r w:rsidR="000B629A" w:rsidRPr="00E54204">
        <w:rPr>
          <w:rFonts w:cs="Times New Roman"/>
          <w:szCs w:val="20"/>
        </w:rPr>
        <w:t xml:space="preserve"> different emphases of the redactors</w:t>
      </w:r>
      <w:r w:rsidRPr="00E54204">
        <w:rPr>
          <w:rFonts w:cs="Times New Roman"/>
          <w:szCs w:val="20"/>
        </w:rPr>
        <w:t>.  In addition, the Bavli has the “heavenly voice” exhorting Elisa to take up his sinful ways</w:t>
      </w:r>
      <w:r w:rsidRPr="00E54204">
        <w:rPr>
          <w:rFonts w:cs="Times New Roman"/>
          <w:szCs w:val="20"/>
          <w:vertAlign w:val="superscript"/>
        </w:rPr>
        <w:footnoteReference w:id="115"/>
      </w:r>
      <w:r w:rsidRPr="00E54204">
        <w:rPr>
          <w:rFonts w:cs="Times New Roman"/>
          <w:szCs w:val="20"/>
        </w:rPr>
        <w:t xml:space="preserve"> while the Yerushalmi reacts to him sinning via the “heavenly voice.”   In my view, Gottstein’s research guides the reader to understand the “heavenly voice” as a highly-versatile tool employed strategically by the sages. </w:t>
      </w:r>
    </w:p>
    <w:p w14:paraId="081460E0" w14:textId="77777777" w:rsidR="00C601CF" w:rsidRPr="00E54204" w:rsidRDefault="00C601CF" w:rsidP="00AA1903">
      <w:pPr>
        <w:spacing w:after="160"/>
        <w:rPr>
          <w:rFonts w:cs="Times New Roman"/>
          <w:szCs w:val="20"/>
        </w:rPr>
      </w:pPr>
    </w:p>
    <w:p w14:paraId="10D5230E" w14:textId="77777777" w:rsidR="00C601CF" w:rsidRPr="00E54204" w:rsidRDefault="00C601CF" w:rsidP="00AA1903">
      <w:pPr>
        <w:spacing w:after="160"/>
        <w:rPr>
          <w:rFonts w:cs="Times New Roman"/>
          <w:szCs w:val="20"/>
        </w:rPr>
      </w:pPr>
    </w:p>
    <w:p w14:paraId="5BAE93F8" w14:textId="77777777" w:rsidR="00C601CF" w:rsidRPr="00E54204" w:rsidRDefault="00C601CF" w:rsidP="00AA1903">
      <w:pPr>
        <w:spacing w:after="160"/>
        <w:rPr>
          <w:rFonts w:cs="Times New Roman"/>
          <w:szCs w:val="20"/>
        </w:rPr>
      </w:pPr>
    </w:p>
    <w:p w14:paraId="536F80A9" w14:textId="77777777" w:rsidR="00AA1903" w:rsidRPr="00E54204" w:rsidRDefault="00CB0865" w:rsidP="00AA1903">
      <w:pPr>
        <w:spacing w:after="160"/>
        <w:rPr>
          <w:rFonts w:cs="Times New Roman"/>
          <w:b/>
          <w:szCs w:val="20"/>
        </w:rPr>
      </w:pPr>
      <w:r w:rsidRPr="00E54204">
        <w:rPr>
          <w:rFonts w:cs="Times New Roman"/>
          <w:b/>
          <w:szCs w:val="20"/>
        </w:rPr>
        <w:lastRenderedPageBreak/>
        <w:t>XVII.</w:t>
      </w:r>
      <w:r w:rsidRPr="00E54204">
        <w:rPr>
          <w:rFonts w:cs="Times New Roman"/>
          <w:b/>
          <w:szCs w:val="20"/>
        </w:rPr>
        <w:tab/>
      </w:r>
      <w:r w:rsidR="00AA1903" w:rsidRPr="00E54204">
        <w:rPr>
          <w:rFonts w:cs="Times New Roman"/>
          <w:b/>
          <w:i/>
          <w:szCs w:val="20"/>
        </w:rPr>
        <w:t>Encyclopedia Judaica</w:t>
      </w:r>
      <w:r w:rsidR="00AA1903" w:rsidRPr="00E54204">
        <w:rPr>
          <w:rFonts w:cs="Times New Roman"/>
          <w:b/>
          <w:szCs w:val="20"/>
        </w:rPr>
        <w:t xml:space="preserve"> “Bat Kol” </w:t>
      </w:r>
      <w:r w:rsidR="00C601CF" w:rsidRPr="00E54204">
        <w:rPr>
          <w:rFonts w:cs="Times New Roman"/>
          <w:b/>
          <w:szCs w:val="20"/>
        </w:rPr>
        <w:t xml:space="preserve">(article by Aaron Rothkoff, </w:t>
      </w:r>
      <w:r w:rsidR="00AA1903" w:rsidRPr="00E54204">
        <w:rPr>
          <w:rFonts w:cs="Times New Roman"/>
          <w:b/>
          <w:szCs w:val="20"/>
        </w:rPr>
        <w:t>2007)</w:t>
      </w:r>
    </w:p>
    <w:p w14:paraId="77A7BEFD" w14:textId="77777777" w:rsidR="00AA1903" w:rsidRPr="00E54204" w:rsidRDefault="000B629A" w:rsidP="000B629A">
      <w:pPr>
        <w:spacing w:after="160"/>
        <w:ind w:firstLine="720"/>
        <w:rPr>
          <w:rFonts w:cs="Times New Roman"/>
          <w:szCs w:val="20"/>
        </w:rPr>
      </w:pPr>
      <w:r w:rsidRPr="00E54204">
        <w:rPr>
          <w:rFonts w:cs="Times New Roman"/>
          <w:szCs w:val="20"/>
        </w:rPr>
        <w:t>Aaron Rothkoff</w:t>
      </w:r>
      <w:r w:rsidR="00AA1903" w:rsidRPr="00E54204">
        <w:rPr>
          <w:rFonts w:cs="Times New Roman"/>
          <w:szCs w:val="20"/>
        </w:rPr>
        <w:t xml:space="preserve"> discusses the </w:t>
      </w:r>
      <w:r w:rsidR="00AA1903" w:rsidRPr="00E54204">
        <w:rPr>
          <w:rFonts w:cs="Times New Roman"/>
          <w:i/>
          <w:szCs w:val="20"/>
        </w:rPr>
        <w:t>bat kol</w:t>
      </w:r>
      <w:r w:rsidR="00AA1903" w:rsidRPr="00E54204">
        <w:rPr>
          <w:rFonts w:cs="Times New Roman"/>
          <w:szCs w:val="20"/>
        </w:rPr>
        <w:t xml:space="preserve"> in an article in the </w:t>
      </w:r>
      <w:r w:rsidR="00AA1903" w:rsidRPr="00E54204">
        <w:rPr>
          <w:rFonts w:cs="Times New Roman"/>
          <w:i/>
          <w:szCs w:val="20"/>
        </w:rPr>
        <w:t>Encyclopedia Judaica</w:t>
      </w:r>
      <w:r w:rsidR="00AA1903" w:rsidRPr="00E54204">
        <w:rPr>
          <w:rFonts w:cs="Times New Roman"/>
          <w:szCs w:val="20"/>
        </w:rPr>
        <w:t>.</w:t>
      </w:r>
      <w:r w:rsidR="00AA1903" w:rsidRPr="00E54204">
        <w:rPr>
          <w:rFonts w:cs="Times New Roman"/>
          <w:szCs w:val="20"/>
          <w:vertAlign w:val="superscript"/>
        </w:rPr>
        <w:footnoteReference w:id="116"/>
      </w:r>
      <w:r w:rsidR="00AA1903" w:rsidRPr="00E54204">
        <w:rPr>
          <w:rFonts w:cs="Times New Roman"/>
          <w:szCs w:val="20"/>
        </w:rPr>
        <w:t xml:space="preserve">  Based on rabbinic sources, Rothkoff also attests to it being a form of divine communication through which God expressed his will, choice, and or judgment, particularly in lieu of the recognized ces</w:t>
      </w:r>
      <w:r w:rsidRPr="00E54204">
        <w:rPr>
          <w:rFonts w:cs="Times New Roman"/>
          <w:szCs w:val="20"/>
        </w:rPr>
        <w:t>sation of Biblical prophecy vis a vis</w:t>
      </w:r>
      <w:r w:rsidR="00AA1903" w:rsidRPr="00E54204">
        <w:rPr>
          <w:rFonts w:cs="Times New Roman"/>
          <w:szCs w:val="20"/>
        </w:rPr>
        <w:t xml:space="preserve"> the rabbis.</w:t>
      </w:r>
      <w:r w:rsidR="00AA1903" w:rsidRPr="00E54204">
        <w:rPr>
          <w:rFonts w:cs="Times New Roman"/>
          <w:szCs w:val="20"/>
          <w:vertAlign w:val="superscript"/>
        </w:rPr>
        <w:footnoteReference w:id="117"/>
      </w:r>
      <w:r w:rsidR="00AA1903" w:rsidRPr="00E54204">
        <w:rPr>
          <w:rFonts w:cs="Times New Roman"/>
          <w:szCs w:val="20"/>
        </w:rPr>
        <w:t xml:space="preserve">  He documents some</w:t>
      </w:r>
      <w:r w:rsidRPr="00E54204">
        <w:rPr>
          <w:rFonts w:cs="Times New Roman"/>
          <w:szCs w:val="20"/>
        </w:rPr>
        <w:t xml:space="preserve"> of</w:t>
      </w:r>
      <w:r w:rsidR="00AA1903" w:rsidRPr="00E54204">
        <w:rPr>
          <w:rFonts w:cs="Times New Roman"/>
          <w:szCs w:val="20"/>
        </w:rPr>
        <w:t xml:space="preserve"> its varied functions such as appearing during Biblical times and during cases of martyrdom.  Furthermore, though generally heard audibly, the “voice” is sometimes portrayed as appearing in dreams.</w:t>
      </w:r>
      <w:r w:rsidR="00AA1903" w:rsidRPr="00E54204">
        <w:rPr>
          <w:rFonts w:cs="Times New Roman"/>
          <w:szCs w:val="20"/>
          <w:vertAlign w:val="superscript"/>
        </w:rPr>
        <w:footnoteReference w:id="118"/>
      </w:r>
      <w:r w:rsidR="00AA1903" w:rsidRPr="00E54204">
        <w:rPr>
          <w:rFonts w:cs="Times New Roman"/>
          <w:szCs w:val="20"/>
        </w:rPr>
        <w:t xml:space="preserve"> </w:t>
      </w:r>
    </w:p>
    <w:p w14:paraId="7956E9D1" w14:textId="77777777" w:rsidR="00AA1903" w:rsidRPr="00E54204" w:rsidRDefault="00CB0865" w:rsidP="00AA1903">
      <w:pPr>
        <w:spacing w:after="160"/>
        <w:rPr>
          <w:rFonts w:cs="Times New Roman"/>
          <w:b/>
          <w:szCs w:val="20"/>
        </w:rPr>
      </w:pPr>
      <w:r w:rsidRPr="00E54204">
        <w:rPr>
          <w:rFonts w:cs="Times New Roman"/>
          <w:b/>
          <w:szCs w:val="20"/>
        </w:rPr>
        <w:t>XV</w:t>
      </w:r>
      <w:r w:rsidR="009A5E7E" w:rsidRPr="00E54204">
        <w:rPr>
          <w:rFonts w:cs="Times New Roman"/>
          <w:b/>
          <w:szCs w:val="20"/>
        </w:rPr>
        <w:t>III.</w:t>
      </w:r>
      <w:r w:rsidR="009A5E7E" w:rsidRPr="00E54204">
        <w:rPr>
          <w:rFonts w:cs="Times New Roman"/>
          <w:b/>
          <w:szCs w:val="20"/>
        </w:rPr>
        <w:tab/>
      </w:r>
      <w:r w:rsidR="00AA1903" w:rsidRPr="00E54204">
        <w:rPr>
          <w:rFonts w:cs="Times New Roman"/>
          <w:b/>
          <w:i/>
          <w:szCs w:val="20"/>
        </w:rPr>
        <w:t>Elijah and the Rabbis</w:t>
      </w:r>
      <w:r w:rsidR="00AA1903" w:rsidRPr="00E54204">
        <w:rPr>
          <w:rFonts w:cs="Times New Roman"/>
          <w:b/>
          <w:szCs w:val="20"/>
        </w:rPr>
        <w:t xml:space="preserve"> by Kristen H. Lindbeck (2010)</w:t>
      </w:r>
    </w:p>
    <w:p w14:paraId="1654E526" w14:textId="77777777" w:rsidR="00AA1903" w:rsidRPr="00E54204" w:rsidRDefault="00AA1903" w:rsidP="00AA1903">
      <w:pPr>
        <w:spacing w:after="160"/>
        <w:rPr>
          <w:rFonts w:cs="Times New Roman"/>
          <w:szCs w:val="20"/>
        </w:rPr>
      </w:pPr>
      <w:r w:rsidRPr="00E54204">
        <w:rPr>
          <w:rFonts w:cs="Times New Roman"/>
          <w:szCs w:val="20"/>
        </w:rPr>
        <w:tab/>
        <w:t>Kristen Lindbeck</w:t>
      </w:r>
      <w:r w:rsidR="00836014" w:rsidRPr="00E54204">
        <w:rPr>
          <w:rFonts w:cs="Times New Roman"/>
          <w:szCs w:val="20"/>
        </w:rPr>
        <w:t xml:space="preserve"> also</w:t>
      </w:r>
      <w:r w:rsidRPr="00E54204">
        <w:rPr>
          <w:rFonts w:cs="Times New Roman"/>
          <w:szCs w:val="20"/>
        </w:rPr>
        <w:t xml:space="preserve"> offers some thoughtful remarks concerning the </w:t>
      </w:r>
      <w:r w:rsidRPr="00E54204">
        <w:rPr>
          <w:rFonts w:cs="Times New Roman"/>
          <w:i/>
          <w:szCs w:val="20"/>
        </w:rPr>
        <w:t>bat kol</w:t>
      </w:r>
      <w:r w:rsidRPr="00E54204">
        <w:rPr>
          <w:rFonts w:cs="Times New Roman"/>
          <w:szCs w:val="20"/>
        </w:rPr>
        <w:t>.  She compares it with the manifestations of</w:t>
      </w:r>
      <w:r w:rsidR="00D34F35" w:rsidRPr="00E54204">
        <w:rPr>
          <w:rFonts w:cs="Times New Roman"/>
          <w:szCs w:val="20"/>
        </w:rPr>
        <w:t xml:space="preserve"> heavenly messengers such as</w:t>
      </w:r>
      <w:r w:rsidRPr="00E54204">
        <w:rPr>
          <w:rFonts w:cs="Times New Roman"/>
          <w:szCs w:val="20"/>
        </w:rPr>
        <w:t xml:space="preserve"> Elijah and angels.  First, in contrast to the manner Elijah normally appears to individuals, the </w:t>
      </w:r>
      <w:r w:rsidRPr="00E54204">
        <w:rPr>
          <w:rFonts w:cs="Times New Roman"/>
          <w:i/>
          <w:szCs w:val="20"/>
        </w:rPr>
        <w:t>bat kol</w:t>
      </w:r>
      <w:r w:rsidRPr="00E54204">
        <w:rPr>
          <w:rFonts w:cs="Times New Roman"/>
          <w:szCs w:val="20"/>
        </w:rPr>
        <w:t xml:space="preserve"> swoops down with generic phrases implying that it could potentially be heard by everyone.  Second, the </w:t>
      </w:r>
      <w:r w:rsidRPr="00E54204">
        <w:rPr>
          <w:rFonts w:cs="Times New Roman"/>
          <w:i/>
          <w:szCs w:val="20"/>
        </w:rPr>
        <w:t>bat kol</w:t>
      </w:r>
      <w:r w:rsidRPr="00E54204">
        <w:rPr>
          <w:rFonts w:cs="Times New Roman"/>
          <w:szCs w:val="20"/>
        </w:rPr>
        <w:t>, appears to be the designated spokesperson to declare the fate of individuals, particularly in moments of sudden death or martyrdom, whereas Elijah and angels do not assume such a task.</w:t>
      </w:r>
    </w:p>
    <w:p w14:paraId="51E79DC6" w14:textId="77777777" w:rsidR="00AA1903" w:rsidRPr="00E54204" w:rsidRDefault="00AA1903" w:rsidP="00AA1903">
      <w:pPr>
        <w:spacing w:after="160"/>
        <w:rPr>
          <w:rFonts w:cs="Times New Roman"/>
          <w:szCs w:val="20"/>
        </w:rPr>
      </w:pPr>
      <w:r w:rsidRPr="00E54204">
        <w:rPr>
          <w:rFonts w:cs="Times New Roman"/>
          <w:szCs w:val="20"/>
        </w:rPr>
        <w:tab/>
        <w:t xml:space="preserve">In addition, she also identifies two aspects of the </w:t>
      </w:r>
      <w:r w:rsidRPr="00E54204">
        <w:rPr>
          <w:rFonts w:cs="Times New Roman"/>
          <w:i/>
          <w:szCs w:val="20"/>
        </w:rPr>
        <w:t>bat kol</w:t>
      </w:r>
      <w:r w:rsidRPr="00E54204">
        <w:rPr>
          <w:rFonts w:cs="Times New Roman"/>
          <w:szCs w:val="20"/>
        </w:rPr>
        <w:t xml:space="preserve">.  The first and less common type is the oracular function in which words and or phrases are uttered that in </w:t>
      </w:r>
      <w:r w:rsidRPr="00E54204">
        <w:rPr>
          <w:rFonts w:cs="Times New Roman"/>
          <w:szCs w:val="20"/>
        </w:rPr>
        <w:lastRenderedPageBreak/>
        <w:t>turn reveal God’s will in various matters.</w:t>
      </w:r>
      <w:r w:rsidRPr="00E54204">
        <w:rPr>
          <w:rFonts w:cs="Times New Roman"/>
          <w:szCs w:val="20"/>
          <w:vertAlign w:val="superscript"/>
        </w:rPr>
        <w:footnoteReference w:id="119"/>
      </w:r>
      <w:r w:rsidRPr="00E54204">
        <w:rPr>
          <w:rFonts w:cs="Times New Roman"/>
          <w:szCs w:val="20"/>
        </w:rPr>
        <w:t xml:space="preserve">  The more prevalent manifestation proceeds directly from the supernatural and is understood to be God’s voice.</w:t>
      </w:r>
      <w:r w:rsidRPr="00E54204">
        <w:rPr>
          <w:rFonts w:cs="Times New Roman"/>
          <w:szCs w:val="20"/>
          <w:vertAlign w:val="superscript"/>
        </w:rPr>
        <w:footnoteReference w:id="120"/>
      </w:r>
      <w:r w:rsidR="00533227" w:rsidRPr="00E54204">
        <w:rPr>
          <w:rFonts w:cs="Times New Roman"/>
          <w:szCs w:val="20"/>
        </w:rPr>
        <w:t xml:space="preserve">  Moreover</w:t>
      </w:r>
      <w:r w:rsidR="00261CC1" w:rsidRPr="00E54204">
        <w:rPr>
          <w:rFonts w:cs="Times New Roman"/>
          <w:szCs w:val="20"/>
        </w:rPr>
        <w:t>,</w:t>
      </w:r>
      <w:r w:rsidR="00533227" w:rsidRPr="00E54204">
        <w:rPr>
          <w:rFonts w:cs="Times New Roman"/>
          <w:szCs w:val="20"/>
        </w:rPr>
        <w:t xml:space="preserve"> she detects</w:t>
      </w:r>
      <w:r w:rsidRPr="00E54204">
        <w:rPr>
          <w:rFonts w:cs="Times New Roman"/>
          <w:szCs w:val="20"/>
        </w:rPr>
        <w:t xml:space="preserve"> two primary functions.  The first and more abiding role is that of herald of individuals’ fate in the afterlife, so as to announce upon the deaths of individuals that they have merited entry in to the world to come.  The second, and related</w:t>
      </w:r>
      <w:r w:rsidR="002C1340" w:rsidRPr="00E54204">
        <w:rPr>
          <w:rFonts w:cs="Times New Roman"/>
          <w:szCs w:val="20"/>
        </w:rPr>
        <w:t>,</w:t>
      </w:r>
      <w:r w:rsidRPr="00E54204">
        <w:rPr>
          <w:rFonts w:cs="Times New Roman"/>
          <w:szCs w:val="20"/>
        </w:rPr>
        <w:t xml:space="preserve"> function is to provide commentary on the worthiness of individuals.</w:t>
      </w:r>
      <w:r w:rsidRPr="00E54204">
        <w:rPr>
          <w:rFonts w:cs="Times New Roman"/>
          <w:szCs w:val="20"/>
          <w:vertAlign w:val="superscript"/>
        </w:rPr>
        <w:footnoteReference w:id="121"/>
      </w:r>
    </w:p>
    <w:p w14:paraId="3D9C8CE5" w14:textId="77777777" w:rsidR="00AA1903" w:rsidRPr="00E54204" w:rsidRDefault="004B322B" w:rsidP="00AA1903">
      <w:pPr>
        <w:spacing w:after="160"/>
        <w:rPr>
          <w:rFonts w:cs="Times New Roman"/>
          <w:szCs w:val="20"/>
        </w:rPr>
      </w:pPr>
      <w:r w:rsidRPr="00E54204">
        <w:rPr>
          <w:rFonts w:cs="Times New Roman"/>
          <w:szCs w:val="20"/>
        </w:rPr>
        <w:tab/>
        <w:t>In my estimation</w:t>
      </w:r>
      <w:r w:rsidR="00AA1903" w:rsidRPr="00E54204">
        <w:rPr>
          <w:rFonts w:cs="Times New Roman"/>
          <w:szCs w:val="20"/>
        </w:rPr>
        <w:t xml:space="preserve">, her overall view of the </w:t>
      </w:r>
      <w:r w:rsidR="00AA1903" w:rsidRPr="00E54204">
        <w:rPr>
          <w:rFonts w:cs="Times New Roman"/>
          <w:i/>
          <w:szCs w:val="20"/>
        </w:rPr>
        <w:t>bat kol</w:t>
      </w:r>
      <w:r w:rsidRPr="00E54204">
        <w:rPr>
          <w:rFonts w:cs="Times New Roman"/>
          <w:szCs w:val="20"/>
        </w:rPr>
        <w:t>, is well-informed</w:t>
      </w:r>
      <w:r w:rsidR="00AA1903" w:rsidRPr="00E54204">
        <w:rPr>
          <w:rFonts w:cs="Times New Roman"/>
          <w:szCs w:val="20"/>
        </w:rPr>
        <w:t>.  She defines it as, “God’s word filtered through an angelic or cosmic loudspeaker.”</w:t>
      </w:r>
      <w:r w:rsidR="00AA1903" w:rsidRPr="00E54204">
        <w:rPr>
          <w:rFonts w:cs="Times New Roman"/>
          <w:szCs w:val="20"/>
          <w:vertAlign w:val="superscript"/>
        </w:rPr>
        <w:footnoteReference w:id="122"/>
      </w:r>
      <w:r w:rsidR="000051DF" w:rsidRPr="00E54204">
        <w:rPr>
          <w:rFonts w:cs="Times New Roman"/>
          <w:szCs w:val="20"/>
        </w:rPr>
        <w:t xml:space="preserve">  And in terms of comparison </w:t>
      </w:r>
      <w:r w:rsidR="00AA1903" w:rsidRPr="00E54204">
        <w:rPr>
          <w:rFonts w:cs="Times New Roman"/>
          <w:szCs w:val="20"/>
        </w:rPr>
        <w:t xml:space="preserve">with Elijah, </w:t>
      </w:r>
      <w:r w:rsidR="00B210F9" w:rsidRPr="00E54204">
        <w:rPr>
          <w:rFonts w:cs="Times New Roman"/>
          <w:szCs w:val="20"/>
        </w:rPr>
        <w:t>she notes that Elijah normally appears to empower individuals</w:t>
      </w:r>
      <w:r w:rsidR="005B4FA8" w:rsidRPr="00E54204">
        <w:rPr>
          <w:rFonts w:cs="Times New Roman"/>
          <w:szCs w:val="20"/>
        </w:rPr>
        <w:t xml:space="preserve">, such as teaching in rabbinic-fashion and giving wealth to the poor, </w:t>
      </w:r>
      <w:r w:rsidR="00AA1903" w:rsidRPr="00E54204">
        <w:rPr>
          <w:rFonts w:cs="Times New Roman"/>
          <w:szCs w:val="20"/>
        </w:rPr>
        <w:t xml:space="preserve">whereas the </w:t>
      </w:r>
      <w:r w:rsidR="00AA1903" w:rsidRPr="00E54204">
        <w:rPr>
          <w:rFonts w:cs="Times New Roman"/>
          <w:i/>
          <w:szCs w:val="20"/>
        </w:rPr>
        <w:t>bat kol</w:t>
      </w:r>
      <w:r w:rsidR="00AA1903" w:rsidRPr="00E54204">
        <w:rPr>
          <w:rFonts w:cs="Times New Roman"/>
          <w:szCs w:val="20"/>
        </w:rPr>
        <w:t xml:space="preserve"> normally curtails human potential.</w:t>
      </w:r>
      <w:r w:rsidR="00AA1903" w:rsidRPr="00E54204">
        <w:rPr>
          <w:rFonts w:cs="Times New Roman"/>
          <w:szCs w:val="20"/>
          <w:vertAlign w:val="superscript"/>
        </w:rPr>
        <w:footnoteReference w:id="123"/>
      </w:r>
      <w:r w:rsidR="00AA1903" w:rsidRPr="00E54204">
        <w:rPr>
          <w:rFonts w:cs="Times New Roman"/>
          <w:szCs w:val="20"/>
        </w:rPr>
        <w:t xml:space="preserve">  I think her commentary succinctly and successfully explains the general nature and function of the “voic</w:t>
      </w:r>
      <w:r w:rsidR="00274D0E" w:rsidRPr="00E54204">
        <w:rPr>
          <w:rFonts w:cs="Times New Roman"/>
          <w:szCs w:val="20"/>
        </w:rPr>
        <w:t xml:space="preserve">e.”  </w:t>
      </w:r>
      <w:r w:rsidR="00AA1903" w:rsidRPr="00E54204">
        <w:rPr>
          <w:rFonts w:cs="Times New Roman"/>
          <w:szCs w:val="20"/>
        </w:rPr>
        <w:t>Her research provides a solid framework and foundation through which to proceed w</w:t>
      </w:r>
      <w:r w:rsidR="008F0A2E" w:rsidRPr="00E54204">
        <w:rPr>
          <w:rFonts w:cs="Times New Roman"/>
          <w:szCs w:val="20"/>
        </w:rPr>
        <w:t>ith my own analysis</w:t>
      </w:r>
      <w:r w:rsidR="00AA1903" w:rsidRPr="00E54204">
        <w:rPr>
          <w:rFonts w:cs="Times New Roman"/>
          <w:szCs w:val="20"/>
        </w:rPr>
        <w:t xml:space="preserve">.  </w:t>
      </w:r>
    </w:p>
    <w:p w14:paraId="39D61079" w14:textId="77777777" w:rsidR="00AA1903" w:rsidRPr="00E54204" w:rsidRDefault="009A5E7E" w:rsidP="00AA1903">
      <w:pPr>
        <w:spacing w:after="160"/>
        <w:rPr>
          <w:rFonts w:cs="Times New Roman"/>
          <w:b/>
          <w:szCs w:val="20"/>
        </w:rPr>
      </w:pPr>
      <w:r w:rsidRPr="00E54204">
        <w:rPr>
          <w:rFonts w:cs="Times New Roman"/>
          <w:b/>
          <w:szCs w:val="20"/>
        </w:rPr>
        <w:t>XIX.</w:t>
      </w:r>
      <w:r w:rsidRPr="00E54204">
        <w:rPr>
          <w:rFonts w:cs="Times New Roman"/>
          <w:b/>
          <w:szCs w:val="20"/>
        </w:rPr>
        <w:tab/>
      </w:r>
      <w:r w:rsidR="00FA17BB" w:rsidRPr="00E54204">
        <w:rPr>
          <w:rFonts w:cs="Times New Roman"/>
          <w:b/>
          <w:szCs w:val="20"/>
        </w:rPr>
        <w:t>On the Q</w:t>
      </w:r>
      <w:r w:rsidR="00AA1903" w:rsidRPr="00E54204">
        <w:rPr>
          <w:rFonts w:cs="Times New Roman"/>
          <w:b/>
          <w:szCs w:val="20"/>
        </w:rPr>
        <w:t>uestion of th</w:t>
      </w:r>
      <w:r w:rsidR="009B0062">
        <w:rPr>
          <w:rFonts w:cs="Times New Roman"/>
          <w:b/>
          <w:szCs w:val="20"/>
        </w:rPr>
        <w:t>e “</w:t>
      </w:r>
      <w:r w:rsidR="00FA17BB" w:rsidRPr="00E54204">
        <w:rPr>
          <w:rFonts w:cs="Times New Roman"/>
          <w:b/>
          <w:szCs w:val="20"/>
        </w:rPr>
        <w:t>Cessation of P</w:t>
      </w:r>
      <w:r w:rsidR="009B0062">
        <w:rPr>
          <w:rFonts w:cs="Times New Roman"/>
          <w:b/>
          <w:szCs w:val="20"/>
        </w:rPr>
        <w:t>rophecy” in Ancient Judaism</w:t>
      </w:r>
      <w:r w:rsidR="00AA1903" w:rsidRPr="00E54204">
        <w:rPr>
          <w:rFonts w:cs="Times New Roman"/>
          <w:b/>
          <w:szCs w:val="20"/>
        </w:rPr>
        <w:t xml:space="preserve"> by L. Stephen Cook (2011)</w:t>
      </w:r>
    </w:p>
    <w:p w14:paraId="6442BF48" w14:textId="77777777" w:rsidR="00AA1903" w:rsidRPr="00E54204" w:rsidRDefault="00AA1903" w:rsidP="00AA1903">
      <w:pPr>
        <w:spacing w:after="160"/>
        <w:rPr>
          <w:rFonts w:cs="Times New Roman"/>
          <w:szCs w:val="20"/>
        </w:rPr>
      </w:pPr>
      <w:r w:rsidRPr="00E54204">
        <w:rPr>
          <w:rFonts w:cs="Times New Roman"/>
          <w:b/>
          <w:szCs w:val="20"/>
        </w:rPr>
        <w:tab/>
      </w:r>
      <w:r w:rsidRPr="00E54204">
        <w:rPr>
          <w:rFonts w:cs="Times New Roman"/>
          <w:szCs w:val="20"/>
        </w:rPr>
        <w:t xml:space="preserve">Another source that </w:t>
      </w:r>
      <w:r w:rsidR="008F0A2E" w:rsidRPr="00E54204">
        <w:rPr>
          <w:rFonts w:cs="Times New Roman"/>
          <w:szCs w:val="20"/>
        </w:rPr>
        <w:t>concisely</w:t>
      </w:r>
      <w:r w:rsidRPr="00E54204">
        <w:rPr>
          <w:rFonts w:cs="Times New Roman"/>
          <w:szCs w:val="20"/>
        </w:rPr>
        <w:t xml:space="preserve"> addresses the “voice from heav</w:t>
      </w:r>
      <w:r w:rsidR="009B0062">
        <w:rPr>
          <w:rFonts w:cs="Times New Roman"/>
          <w:szCs w:val="20"/>
        </w:rPr>
        <w:t xml:space="preserve">en” is Stephen L. Cook’s work, </w:t>
      </w:r>
      <w:r w:rsidRPr="009B0062">
        <w:rPr>
          <w:rFonts w:cs="Times New Roman"/>
          <w:i/>
          <w:szCs w:val="20"/>
        </w:rPr>
        <w:t xml:space="preserve">On the Question </w:t>
      </w:r>
      <w:r w:rsidR="009B0062">
        <w:rPr>
          <w:rFonts w:cs="Times New Roman"/>
          <w:i/>
          <w:szCs w:val="20"/>
        </w:rPr>
        <w:t>of the “Cessation of Prophecy”</w:t>
      </w:r>
      <w:r w:rsidR="009B0062" w:rsidRPr="009B0062">
        <w:rPr>
          <w:rFonts w:cs="Times New Roman"/>
          <w:i/>
          <w:szCs w:val="20"/>
        </w:rPr>
        <w:t xml:space="preserve"> in Ancient Judaism</w:t>
      </w:r>
      <w:r w:rsidR="009B0062">
        <w:rPr>
          <w:rFonts w:cs="Times New Roman"/>
          <w:szCs w:val="20"/>
        </w:rPr>
        <w:t>.</w:t>
      </w:r>
      <w:r w:rsidRPr="00E54204">
        <w:rPr>
          <w:rFonts w:cs="Times New Roman"/>
          <w:szCs w:val="20"/>
        </w:rPr>
        <w:t xml:space="preserve">  He </w:t>
      </w:r>
      <w:r w:rsidRPr="00E54204">
        <w:rPr>
          <w:rFonts w:cs="Times New Roman"/>
          <w:szCs w:val="20"/>
        </w:rPr>
        <w:lastRenderedPageBreak/>
        <w:t>writes of it as being conceived as a fallible</w:t>
      </w:r>
      <w:r w:rsidR="00DA0E3C" w:rsidRPr="00E54204">
        <w:rPr>
          <w:rFonts w:cs="Times New Roman"/>
          <w:szCs w:val="20"/>
        </w:rPr>
        <w:t xml:space="preserve"> substitute for the Holy Spirit and he views the</w:t>
      </w:r>
      <w:r w:rsidR="00DA0E3C" w:rsidRPr="00E54204">
        <w:t xml:space="preserve"> rabbis displaying a generally ambivalent attitude towards its authority.</w:t>
      </w:r>
      <w:r w:rsidRPr="00E54204">
        <w:rPr>
          <w:rFonts w:cs="Times New Roman"/>
          <w:szCs w:val="20"/>
          <w:vertAlign w:val="superscript"/>
        </w:rPr>
        <w:footnoteReference w:id="124"/>
      </w:r>
      <w:r w:rsidRPr="00E54204">
        <w:rPr>
          <w:rFonts w:cs="Times New Roman"/>
          <w:szCs w:val="20"/>
        </w:rPr>
        <w:t xml:space="preserve">  Cook reads the literature of the Second Temple period to warrant lower forms of prophecy</w:t>
      </w:r>
      <w:r w:rsidRPr="00E54204">
        <w:rPr>
          <w:rFonts w:cs="Times New Roman"/>
          <w:szCs w:val="20"/>
          <w:vertAlign w:val="superscript"/>
        </w:rPr>
        <w:footnoteReference w:id="125"/>
      </w:r>
      <w:r w:rsidRPr="00E54204">
        <w:rPr>
          <w:rFonts w:cs="Times New Roman"/>
          <w:szCs w:val="20"/>
        </w:rPr>
        <w:t xml:space="preserve"> in light of a general consensus that the Biblical era of prophecy had ended.  These supplementary forms of revelation include pseudepigraphic seers, Josephus’s prognostications, prophetic texts from the Teacher of Righteousness, and the rabbinic </w:t>
      </w:r>
      <w:r w:rsidRPr="00E54204">
        <w:rPr>
          <w:rFonts w:cs="Times New Roman"/>
          <w:i/>
          <w:szCs w:val="20"/>
        </w:rPr>
        <w:t>bat kol</w:t>
      </w:r>
      <w:r w:rsidRPr="00E54204">
        <w:rPr>
          <w:rFonts w:cs="Times New Roman"/>
          <w:szCs w:val="20"/>
        </w:rPr>
        <w:t>.</w:t>
      </w:r>
      <w:r w:rsidRPr="00E54204">
        <w:rPr>
          <w:rFonts w:cs="Times New Roman"/>
          <w:szCs w:val="20"/>
          <w:vertAlign w:val="superscript"/>
        </w:rPr>
        <w:footnoteReference w:id="126"/>
      </w:r>
      <w:r w:rsidRPr="00E54204">
        <w:rPr>
          <w:rFonts w:cs="Times New Roman"/>
          <w:szCs w:val="20"/>
        </w:rPr>
        <w:t xml:space="preserve">  Thus</w:t>
      </w:r>
      <w:r w:rsidR="003776A0" w:rsidRPr="00E54204">
        <w:rPr>
          <w:rFonts w:cs="Times New Roman"/>
          <w:szCs w:val="20"/>
        </w:rPr>
        <w:t>,</w:t>
      </w:r>
      <w:r w:rsidRPr="00E54204">
        <w:rPr>
          <w:rFonts w:cs="Times New Roman"/>
          <w:szCs w:val="20"/>
        </w:rPr>
        <w:t xml:space="preserve"> he views it as the continuing voice</w:t>
      </w:r>
      <w:r w:rsidR="00DA0E3C" w:rsidRPr="00E54204">
        <w:rPr>
          <w:rFonts w:cs="Times New Roman"/>
          <w:szCs w:val="20"/>
        </w:rPr>
        <w:t xml:space="preserve"> of God</w:t>
      </w:r>
      <w:r w:rsidRPr="00E54204">
        <w:rPr>
          <w:rFonts w:cs="Times New Roman"/>
          <w:szCs w:val="20"/>
        </w:rPr>
        <w:t xml:space="preserve"> in an era where it was believed th</w:t>
      </w:r>
      <w:r w:rsidR="00DA0E3C" w:rsidRPr="00E54204">
        <w:rPr>
          <w:rFonts w:cs="Times New Roman"/>
          <w:szCs w:val="20"/>
        </w:rPr>
        <w:t>at God’s manifest presence was removed</w:t>
      </w:r>
      <w:r w:rsidRPr="00E54204">
        <w:rPr>
          <w:rFonts w:cs="Times New Roman"/>
          <w:szCs w:val="20"/>
        </w:rPr>
        <w:t>.</w:t>
      </w:r>
      <w:r w:rsidRPr="00E54204">
        <w:rPr>
          <w:rFonts w:cs="Times New Roman"/>
          <w:szCs w:val="20"/>
          <w:vertAlign w:val="superscript"/>
        </w:rPr>
        <w:footnoteReference w:id="127"/>
      </w:r>
      <w:r w:rsidRPr="00E54204">
        <w:rPr>
          <w:rFonts w:cs="Times New Roman"/>
          <w:szCs w:val="20"/>
        </w:rPr>
        <w:t xml:space="preserve"> </w:t>
      </w:r>
    </w:p>
    <w:p w14:paraId="6FB11860" w14:textId="77777777" w:rsidR="00AA1903" w:rsidRPr="00E54204" w:rsidRDefault="009A5E7E" w:rsidP="00AA1903">
      <w:pPr>
        <w:spacing w:after="160"/>
        <w:rPr>
          <w:rFonts w:cs="Times New Roman"/>
          <w:b/>
          <w:szCs w:val="20"/>
        </w:rPr>
      </w:pPr>
      <w:r w:rsidRPr="00E54204">
        <w:rPr>
          <w:rFonts w:cs="Times New Roman"/>
          <w:b/>
          <w:szCs w:val="20"/>
        </w:rPr>
        <w:t>XX.</w:t>
      </w:r>
      <w:r w:rsidRPr="00E54204">
        <w:rPr>
          <w:rFonts w:cs="Times New Roman"/>
          <w:b/>
          <w:szCs w:val="20"/>
        </w:rPr>
        <w:tab/>
      </w:r>
      <w:r w:rsidR="00AA1903" w:rsidRPr="00E54204">
        <w:rPr>
          <w:rFonts w:cs="Times New Roman"/>
          <w:b/>
          <w:szCs w:val="20"/>
        </w:rPr>
        <w:t>Conclusion</w:t>
      </w:r>
    </w:p>
    <w:p w14:paraId="7801184D" w14:textId="77777777" w:rsidR="004D2F46" w:rsidRPr="00E54204" w:rsidRDefault="003C0827" w:rsidP="00274D0E">
      <w:pPr>
        <w:spacing w:after="160"/>
        <w:ind w:firstLine="720"/>
        <w:rPr>
          <w:rFonts w:cs="Times New Roman"/>
          <w:szCs w:val="20"/>
        </w:rPr>
      </w:pPr>
      <w:r w:rsidRPr="00E54204">
        <w:rPr>
          <w:rFonts w:cs="Times New Roman"/>
          <w:szCs w:val="20"/>
        </w:rPr>
        <w:t>Throughout this chapter I have presented major scholarly works on</w:t>
      </w:r>
      <w:r w:rsidR="0092427B" w:rsidRPr="00E54204">
        <w:rPr>
          <w:rFonts w:cs="Times New Roman"/>
          <w:szCs w:val="20"/>
        </w:rPr>
        <w:t xml:space="preserve"> the </w:t>
      </w:r>
      <w:r w:rsidR="002B3DC4" w:rsidRPr="00E54204">
        <w:rPr>
          <w:rFonts w:cs="Times New Roman"/>
          <w:szCs w:val="20"/>
        </w:rPr>
        <w:t>enigmatic</w:t>
      </w:r>
      <w:r w:rsidRPr="00E54204">
        <w:rPr>
          <w:rFonts w:cs="Times New Roman"/>
          <w:szCs w:val="20"/>
        </w:rPr>
        <w:t xml:space="preserve"> </w:t>
      </w:r>
      <w:r w:rsidRPr="00E54204">
        <w:rPr>
          <w:rFonts w:cs="Times New Roman"/>
          <w:i/>
          <w:szCs w:val="20"/>
        </w:rPr>
        <w:t>bat kol</w:t>
      </w:r>
      <w:r w:rsidRPr="00E54204">
        <w:rPr>
          <w:rFonts w:cs="Times New Roman"/>
          <w:szCs w:val="20"/>
        </w:rPr>
        <w:t>.  This review is not intended to be exhaustive b</w:t>
      </w:r>
      <w:r w:rsidR="00FD1A92" w:rsidRPr="00E54204">
        <w:rPr>
          <w:rFonts w:cs="Times New Roman"/>
          <w:szCs w:val="20"/>
        </w:rPr>
        <w:t>ut comprehensive enough for</w:t>
      </w:r>
      <w:r w:rsidR="00801AC2" w:rsidRPr="00E54204">
        <w:rPr>
          <w:rFonts w:cs="Times New Roman"/>
          <w:szCs w:val="20"/>
        </w:rPr>
        <w:t xml:space="preserve"> the reader to acquire a</w:t>
      </w:r>
      <w:r w:rsidR="00FD1A92" w:rsidRPr="00E54204">
        <w:rPr>
          <w:rFonts w:cs="Times New Roman"/>
          <w:szCs w:val="20"/>
        </w:rPr>
        <w:t xml:space="preserve"> substantial</w:t>
      </w:r>
      <w:r w:rsidR="002B3DC4" w:rsidRPr="00E54204">
        <w:rPr>
          <w:rFonts w:cs="Times New Roman"/>
          <w:szCs w:val="20"/>
        </w:rPr>
        <w:t xml:space="preserve"> overview </w:t>
      </w:r>
      <w:r w:rsidR="00FD1A92" w:rsidRPr="00E54204">
        <w:rPr>
          <w:rFonts w:cs="Times New Roman"/>
          <w:szCs w:val="20"/>
        </w:rPr>
        <w:t xml:space="preserve">of </w:t>
      </w:r>
      <w:r w:rsidR="00836014" w:rsidRPr="00E54204">
        <w:rPr>
          <w:rFonts w:cs="Times New Roman"/>
          <w:szCs w:val="20"/>
        </w:rPr>
        <w:t>important scholarly views on the</w:t>
      </w:r>
      <w:r w:rsidR="00FD1A92" w:rsidRPr="00E54204">
        <w:rPr>
          <w:rFonts w:cs="Times New Roman"/>
          <w:szCs w:val="20"/>
        </w:rPr>
        <w:t xml:space="preserve"> </w:t>
      </w:r>
      <w:r w:rsidR="00FD1A92" w:rsidRPr="00E54204">
        <w:rPr>
          <w:rFonts w:cs="Times New Roman"/>
          <w:i/>
          <w:szCs w:val="20"/>
        </w:rPr>
        <w:t>bat kol</w:t>
      </w:r>
      <w:r w:rsidRPr="00E54204">
        <w:rPr>
          <w:rFonts w:cs="Times New Roman"/>
          <w:szCs w:val="20"/>
        </w:rPr>
        <w:t xml:space="preserve">.  </w:t>
      </w:r>
      <w:r w:rsidR="00B77102" w:rsidRPr="00E54204">
        <w:rPr>
          <w:rFonts w:cs="Times New Roman"/>
          <w:szCs w:val="20"/>
        </w:rPr>
        <w:t>The sources have been compil</w:t>
      </w:r>
      <w:r w:rsidRPr="00E54204">
        <w:rPr>
          <w:rFonts w:cs="Times New Roman"/>
          <w:szCs w:val="20"/>
        </w:rPr>
        <w:t>ed chronologically,</w:t>
      </w:r>
      <w:r w:rsidR="00FD1A92" w:rsidRPr="00E54204">
        <w:rPr>
          <w:rFonts w:cs="Times New Roman"/>
          <w:szCs w:val="20"/>
        </w:rPr>
        <w:t xml:space="preserve"> </w:t>
      </w:r>
      <w:r w:rsidR="002B3DC4" w:rsidRPr="00E54204">
        <w:rPr>
          <w:rFonts w:cs="Times New Roman"/>
          <w:szCs w:val="20"/>
        </w:rPr>
        <w:t xml:space="preserve">that is </w:t>
      </w:r>
      <w:r w:rsidR="00836014" w:rsidRPr="00E54204">
        <w:rPr>
          <w:rFonts w:cs="Times New Roman"/>
          <w:szCs w:val="20"/>
        </w:rPr>
        <w:t>in order of</w:t>
      </w:r>
      <w:r w:rsidR="002B3DC4" w:rsidRPr="00E54204">
        <w:rPr>
          <w:rFonts w:cs="Times New Roman"/>
          <w:szCs w:val="20"/>
        </w:rPr>
        <w:t xml:space="preserve"> date of</w:t>
      </w:r>
      <w:r w:rsidR="00836014" w:rsidRPr="00E54204">
        <w:rPr>
          <w:rFonts w:cs="Times New Roman"/>
          <w:szCs w:val="20"/>
        </w:rPr>
        <w:t xml:space="preserve"> publication, </w:t>
      </w:r>
      <w:r w:rsidR="002B3DC4" w:rsidRPr="00E54204">
        <w:rPr>
          <w:rFonts w:cs="Times New Roman"/>
          <w:szCs w:val="20"/>
        </w:rPr>
        <w:t>beginning</w:t>
      </w:r>
      <w:r w:rsidR="00B77102" w:rsidRPr="00E54204">
        <w:rPr>
          <w:rFonts w:cs="Times New Roman"/>
          <w:szCs w:val="20"/>
        </w:rPr>
        <w:t xml:space="preserve"> around the</w:t>
      </w:r>
      <w:r w:rsidR="002B3DC4" w:rsidRPr="00E54204">
        <w:rPr>
          <w:rFonts w:cs="Times New Roman"/>
          <w:szCs w:val="20"/>
        </w:rPr>
        <w:t xml:space="preserve"> late</w:t>
      </w:r>
      <w:r w:rsidR="00B77102" w:rsidRPr="00E54204">
        <w:rPr>
          <w:rFonts w:cs="Times New Roman"/>
          <w:szCs w:val="20"/>
        </w:rPr>
        <w:t xml:space="preserve"> eig</w:t>
      </w:r>
      <w:r w:rsidR="00836014" w:rsidRPr="00E54204">
        <w:rPr>
          <w:rFonts w:cs="Times New Roman"/>
          <w:szCs w:val="20"/>
        </w:rPr>
        <w:t>hteenth century</w:t>
      </w:r>
      <w:r w:rsidR="00B77102" w:rsidRPr="00E54204">
        <w:rPr>
          <w:rFonts w:cs="Times New Roman"/>
          <w:szCs w:val="20"/>
        </w:rPr>
        <w:t>, which ex</w:t>
      </w:r>
      <w:r w:rsidR="00274D0E" w:rsidRPr="00E54204">
        <w:rPr>
          <w:rFonts w:cs="Times New Roman"/>
          <w:szCs w:val="20"/>
        </w:rPr>
        <w:t>hibits</w:t>
      </w:r>
      <w:r w:rsidR="00836014" w:rsidRPr="00E54204">
        <w:rPr>
          <w:rFonts w:cs="Times New Roman"/>
          <w:szCs w:val="20"/>
        </w:rPr>
        <w:t xml:space="preserve"> several</w:t>
      </w:r>
      <w:r w:rsidR="00274D0E" w:rsidRPr="00E54204">
        <w:rPr>
          <w:rFonts w:cs="Times New Roman"/>
          <w:szCs w:val="20"/>
        </w:rPr>
        <w:t xml:space="preserve"> Christian scholars,</w:t>
      </w:r>
      <w:r w:rsidRPr="00E54204">
        <w:rPr>
          <w:rFonts w:cs="Times New Roman"/>
          <w:szCs w:val="20"/>
        </w:rPr>
        <w:t xml:space="preserve"> and more Jewish s</w:t>
      </w:r>
      <w:r w:rsidR="00FD1A92" w:rsidRPr="00E54204">
        <w:rPr>
          <w:rFonts w:cs="Times New Roman"/>
          <w:szCs w:val="20"/>
        </w:rPr>
        <w:t>cholars in the twentieth</w:t>
      </w:r>
      <w:r w:rsidR="00C84773" w:rsidRPr="00E54204">
        <w:rPr>
          <w:rFonts w:cs="Times New Roman"/>
          <w:szCs w:val="20"/>
        </w:rPr>
        <w:t>.</w:t>
      </w:r>
      <w:r w:rsidR="000211D3" w:rsidRPr="00E54204">
        <w:rPr>
          <w:rFonts w:cs="Times New Roman"/>
          <w:szCs w:val="20"/>
        </w:rPr>
        <w:t xml:space="preserve">  The following table is </w:t>
      </w:r>
      <w:r w:rsidR="001D4E0B" w:rsidRPr="00E54204">
        <w:rPr>
          <w:rFonts w:cs="Times New Roman"/>
          <w:szCs w:val="20"/>
        </w:rPr>
        <w:t xml:space="preserve">a snapshot view of the scholarly views within this review concerning </w:t>
      </w:r>
      <w:r w:rsidR="000211D3" w:rsidRPr="00E54204">
        <w:rPr>
          <w:rFonts w:cs="Times New Roman"/>
          <w:szCs w:val="20"/>
        </w:rPr>
        <w:t>the rabbinic “voice from heaven.”</w:t>
      </w:r>
    </w:p>
    <w:p w14:paraId="5D0E44DF" w14:textId="77777777" w:rsidR="000211D3" w:rsidRPr="00E54204" w:rsidRDefault="000211D3" w:rsidP="00274D0E">
      <w:pPr>
        <w:spacing w:after="160"/>
        <w:ind w:firstLine="720"/>
        <w:rPr>
          <w:rFonts w:cs="Times New Roman"/>
          <w:szCs w:val="20"/>
        </w:rPr>
      </w:pPr>
    </w:p>
    <w:p w14:paraId="07750571" w14:textId="77777777" w:rsidR="000211D3" w:rsidRPr="00E54204" w:rsidRDefault="000211D3" w:rsidP="000211D3">
      <w:pPr>
        <w:spacing w:line="240" w:lineRule="auto"/>
        <w:rPr>
          <w:szCs w:val="20"/>
        </w:rPr>
      </w:pPr>
      <w:r w:rsidRPr="00E54204">
        <w:rPr>
          <w:b/>
          <w:szCs w:val="20"/>
        </w:rPr>
        <w:t>Table 1</w:t>
      </w:r>
      <w:r w:rsidRPr="00E54204">
        <w:rPr>
          <w:szCs w:val="20"/>
        </w:rPr>
        <w:t xml:space="preserve">: </w:t>
      </w:r>
      <w:r w:rsidRPr="00E54204">
        <w:rPr>
          <w:bCs/>
          <w:szCs w:val="20"/>
        </w:rPr>
        <w:t xml:space="preserve">Major views of </w:t>
      </w:r>
      <w:r w:rsidRPr="00E54204">
        <w:rPr>
          <w:bCs/>
          <w:i/>
          <w:szCs w:val="20"/>
        </w:rPr>
        <w:t>bat kol</w:t>
      </w:r>
      <w:r w:rsidRPr="00E54204">
        <w:rPr>
          <w:bCs/>
          <w:szCs w:val="20"/>
        </w:rPr>
        <w:t xml:space="preserve"> with author’s name and dates of publication.</w:t>
      </w:r>
    </w:p>
    <w:tbl>
      <w:tblPr>
        <w:tblStyle w:val="TableGrid"/>
        <w:tblW w:w="9014" w:type="dxa"/>
        <w:tblLook w:val="04A0" w:firstRow="1" w:lastRow="0" w:firstColumn="1" w:lastColumn="0" w:noHBand="0" w:noVBand="1"/>
      </w:tblPr>
      <w:tblGrid>
        <w:gridCol w:w="1357"/>
        <w:gridCol w:w="1456"/>
        <w:gridCol w:w="1176"/>
        <w:gridCol w:w="1323"/>
        <w:gridCol w:w="1256"/>
        <w:gridCol w:w="1323"/>
        <w:gridCol w:w="1123"/>
      </w:tblGrid>
      <w:tr w:rsidR="000211D3" w:rsidRPr="00E54204" w14:paraId="37540390" w14:textId="77777777" w:rsidTr="000211D3">
        <w:tc>
          <w:tcPr>
            <w:tcW w:w="1440" w:type="dxa"/>
          </w:tcPr>
          <w:p w14:paraId="2F5E7F24" w14:textId="77777777" w:rsidR="000211D3" w:rsidRPr="00E54204" w:rsidRDefault="000211D3" w:rsidP="000211D3">
            <w:pPr>
              <w:rPr>
                <w:szCs w:val="20"/>
              </w:rPr>
            </w:pPr>
          </w:p>
        </w:tc>
        <w:tc>
          <w:tcPr>
            <w:tcW w:w="1440" w:type="dxa"/>
          </w:tcPr>
          <w:p w14:paraId="57405FAB" w14:textId="77777777" w:rsidR="000211D3" w:rsidRPr="00E54204" w:rsidRDefault="000211D3" w:rsidP="000211D3">
            <w:pPr>
              <w:rPr>
                <w:szCs w:val="20"/>
              </w:rPr>
            </w:pPr>
          </w:p>
        </w:tc>
        <w:tc>
          <w:tcPr>
            <w:tcW w:w="1163" w:type="dxa"/>
          </w:tcPr>
          <w:p w14:paraId="5BA309EC" w14:textId="77777777" w:rsidR="000211D3" w:rsidRPr="00E54204" w:rsidRDefault="000211D3" w:rsidP="000211D3">
            <w:pPr>
              <w:rPr>
                <w:szCs w:val="20"/>
              </w:rPr>
            </w:pPr>
          </w:p>
        </w:tc>
        <w:tc>
          <w:tcPr>
            <w:tcW w:w="1309" w:type="dxa"/>
          </w:tcPr>
          <w:p w14:paraId="18C084AB" w14:textId="77777777" w:rsidR="000211D3" w:rsidRPr="00E54204" w:rsidRDefault="000211D3" w:rsidP="000211D3">
            <w:pPr>
              <w:rPr>
                <w:szCs w:val="20"/>
              </w:rPr>
            </w:pPr>
          </w:p>
        </w:tc>
        <w:tc>
          <w:tcPr>
            <w:tcW w:w="1242" w:type="dxa"/>
          </w:tcPr>
          <w:p w14:paraId="2CAE571C" w14:textId="77777777" w:rsidR="000211D3" w:rsidRPr="00E54204" w:rsidRDefault="000211D3" w:rsidP="000211D3">
            <w:pPr>
              <w:rPr>
                <w:szCs w:val="20"/>
              </w:rPr>
            </w:pPr>
          </w:p>
        </w:tc>
        <w:tc>
          <w:tcPr>
            <w:tcW w:w="1309" w:type="dxa"/>
          </w:tcPr>
          <w:p w14:paraId="37508F7C" w14:textId="77777777" w:rsidR="000211D3" w:rsidRPr="00E54204" w:rsidRDefault="000211D3" w:rsidP="000211D3">
            <w:pPr>
              <w:rPr>
                <w:szCs w:val="20"/>
              </w:rPr>
            </w:pPr>
          </w:p>
        </w:tc>
        <w:tc>
          <w:tcPr>
            <w:tcW w:w="1111" w:type="dxa"/>
          </w:tcPr>
          <w:p w14:paraId="289D585F" w14:textId="77777777" w:rsidR="000211D3" w:rsidRPr="00E54204" w:rsidRDefault="000211D3" w:rsidP="000211D3">
            <w:pPr>
              <w:rPr>
                <w:szCs w:val="20"/>
              </w:rPr>
            </w:pPr>
          </w:p>
        </w:tc>
      </w:tr>
      <w:tr w:rsidR="000211D3" w:rsidRPr="00E54204" w14:paraId="14BE36AD" w14:textId="77777777" w:rsidTr="000211D3">
        <w:tc>
          <w:tcPr>
            <w:tcW w:w="1440" w:type="dxa"/>
          </w:tcPr>
          <w:p w14:paraId="2D1976FE" w14:textId="77777777" w:rsidR="000211D3" w:rsidRPr="00E54204" w:rsidRDefault="000211D3" w:rsidP="000211D3">
            <w:pPr>
              <w:rPr>
                <w:b/>
                <w:szCs w:val="20"/>
              </w:rPr>
            </w:pPr>
            <w:r w:rsidRPr="00E54204">
              <w:rPr>
                <w:b/>
                <w:szCs w:val="20"/>
              </w:rPr>
              <w:t>Echo</w:t>
            </w:r>
          </w:p>
          <w:p w14:paraId="44F6B348" w14:textId="77777777" w:rsidR="000211D3" w:rsidRPr="00E54204" w:rsidRDefault="000211D3" w:rsidP="000211D3">
            <w:pPr>
              <w:rPr>
                <w:szCs w:val="20"/>
              </w:rPr>
            </w:pPr>
          </w:p>
        </w:tc>
        <w:tc>
          <w:tcPr>
            <w:tcW w:w="1440" w:type="dxa"/>
          </w:tcPr>
          <w:p w14:paraId="4748B629" w14:textId="77777777" w:rsidR="000211D3" w:rsidRPr="00E54204" w:rsidRDefault="000211D3" w:rsidP="000211D3">
            <w:pPr>
              <w:rPr>
                <w:szCs w:val="20"/>
              </w:rPr>
            </w:pPr>
            <w:r w:rsidRPr="00E54204">
              <w:rPr>
                <w:szCs w:val="20"/>
              </w:rPr>
              <w:t>Blau &amp; Kohler (1906)</w:t>
            </w:r>
          </w:p>
          <w:p w14:paraId="4B81170A" w14:textId="77777777" w:rsidR="000211D3" w:rsidRPr="00E54204" w:rsidRDefault="000211D3" w:rsidP="000211D3">
            <w:pPr>
              <w:rPr>
                <w:szCs w:val="20"/>
              </w:rPr>
            </w:pPr>
          </w:p>
        </w:tc>
        <w:tc>
          <w:tcPr>
            <w:tcW w:w="1163" w:type="dxa"/>
          </w:tcPr>
          <w:p w14:paraId="325DB3CC" w14:textId="77777777" w:rsidR="000211D3" w:rsidRPr="00E54204" w:rsidRDefault="000211D3" w:rsidP="000211D3">
            <w:pPr>
              <w:rPr>
                <w:szCs w:val="20"/>
              </w:rPr>
            </w:pPr>
            <w:r w:rsidRPr="00E54204">
              <w:rPr>
                <w:szCs w:val="20"/>
              </w:rPr>
              <w:t>G. F. Moore (1927)</w:t>
            </w:r>
          </w:p>
          <w:p w14:paraId="4FC778CB" w14:textId="77777777" w:rsidR="000211D3" w:rsidRPr="00E54204" w:rsidRDefault="000211D3" w:rsidP="000211D3">
            <w:pPr>
              <w:rPr>
                <w:szCs w:val="20"/>
              </w:rPr>
            </w:pPr>
          </w:p>
        </w:tc>
        <w:tc>
          <w:tcPr>
            <w:tcW w:w="1309" w:type="dxa"/>
          </w:tcPr>
          <w:p w14:paraId="3271DBDD" w14:textId="77777777" w:rsidR="000211D3" w:rsidRPr="00E54204" w:rsidRDefault="000211D3" w:rsidP="000211D3">
            <w:pPr>
              <w:rPr>
                <w:szCs w:val="20"/>
              </w:rPr>
            </w:pPr>
          </w:p>
        </w:tc>
        <w:tc>
          <w:tcPr>
            <w:tcW w:w="1242" w:type="dxa"/>
          </w:tcPr>
          <w:p w14:paraId="550C7823" w14:textId="77777777" w:rsidR="000211D3" w:rsidRPr="00E54204" w:rsidRDefault="000211D3" w:rsidP="000211D3">
            <w:pPr>
              <w:rPr>
                <w:szCs w:val="20"/>
              </w:rPr>
            </w:pPr>
          </w:p>
        </w:tc>
        <w:tc>
          <w:tcPr>
            <w:tcW w:w="1309" w:type="dxa"/>
          </w:tcPr>
          <w:p w14:paraId="5A69C229" w14:textId="77777777" w:rsidR="000211D3" w:rsidRPr="00E54204" w:rsidRDefault="000211D3" w:rsidP="000211D3">
            <w:pPr>
              <w:rPr>
                <w:szCs w:val="20"/>
              </w:rPr>
            </w:pPr>
          </w:p>
        </w:tc>
        <w:tc>
          <w:tcPr>
            <w:tcW w:w="1111" w:type="dxa"/>
          </w:tcPr>
          <w:p w14:paraId="264A8ADE" w14:textId="77777777" w:rsidR="000211D3" w:rsidRPr="00E54204" w:rsidRDefault="000211D3" w:rsidP="000211D3">
            <w:pPr>
              <w:rPr>
                <w:szCs w:val="20"/>
              </w:rPr>
            </w:pPr>
          </w:p>
        </w:tc>
      </w:tr>
      <w:tr w:rsidR="000211D3" w:rsidRPr="00E54204" w14:paraId="59443FDB" w14:textId="77777777" w:rsidTr="000211D3">
        <w:tc>
          <w:tcPr>
            <w:tcW w:w="1440" w:type="dxa"/>
          </w:tcPr>
          <w:p w14:paraId="60443E06" w14:textId="77777777" w:rsidR="000211D3" w:rsidRPr="00E54204" w:rsidRDefault="000211D3" w:rsidP="000211D3">
            <w:pPr>
              <w:rPr>
                <w:b/>
                <w:szCs w:val="20"/>
              </w:rPr>
            </w:pPr>
            <w:r w:rsidRPr="00E54204">
              <w:rPr>
                <w:b/>
                <w:szCs w:val="20"/>
              </w:rPr>
              <w:t>Inner</w:t>
            </w:r>
          </w:p>
          <w:p w14:paraId="350C4858" w14:textId="77777777" w:rsidR="000211D3" w:rsidRPr="00E54204" w:rsidRDefault="000211D3" w:rsidP="000211D3">
            <w:pPr>
              <w:rPr>
                <w:szCs w:val="20"/>
              </w:rPr>
            </w:pPr>
            <w:r w:rsidRPr="00E54204">
              <w:rPr>
                <w:b/>
                <w:szCs w:val="20"/>
              </w:rPr>
              <w:t>Thoughts</w:t>
            </w:r>
          </w:p>
        </w:tc>
        <w:tc>
          <w:tcPr>
            <w:tcW w:w="1440" w:type="dxa"/>
          </w:tcPr>
          <w:p w14:paraId="33401B7B" w14:textId="77777777" w:rsidR="000211D3" w:rsidRPr="00E54204" w:rsidRDefault="005472B8" w:rsidP="000211D3">
            <w:pPr>
              <w:rPr>
                <w:szCs w:val="20"/>
              </w:rPr>
            </w:pPr>
            <w:r w:rsidRPr="00E54204">
              <w:rPr>
                <w:szCs w:val="20"/>
              </w:rPr>
              <w:t>J. Nicholson (18</w:t>
            </w:r>
            <w:r w:rsidR="000211D3" w:rsidRPr="00E54204">
              <w:rPr>
                <w:szCs w:val="20"/>
              </w:rPr>
              <w:t>5</w:t>
            </w:r>
            <w:r w:rsidRPr="00E54204">
              <w:rPr>
                <w:szCs w:val="20"/>
              </w:rPr>
              <w:t>8</w:t>
            </w:r>
            <w:r w:rsidR="000211D3" w:rsidRPr="00E54204">
              <w:rPr>
                <w:szCs w:val="20"/>
              </w:rPr>
              <w:t>)</w:t>
            </w:r>
          </w:p>
          <w:p w14:paraId="3D6B0A69" w14:textId="77777777" w:rsidR="000211D3" w:rsidRPr="00E54204" w:rsidRDefault="000211D3" w:rsidP="000211D3">
            <w:pPr>
              <w:rPr>
                <w:szCs w:val="20"/>
              </w:rPr>
            </w:pPr>
          </w:p>
        </w:tc>
        <w:tc>
          <w:tcPr>
            <w:tcW w:w="1163" w:type="dxa"/>
          </w:tcPr>
          <w:p w14:paraId="4E7B37FC" w14:textId="77777777" w:rsidR="000211D3" w:rsidRPr="00E54204" w:rsidRDefault="000211D3" w:rsidP="000211D3">
            <w:pPr>
              <w:rPr>
                <w:szCs w:val="20"/>
              </w:rPr>
            </w:pPr>
            <w:r w:rsidRPr="00E54204">
              <w:rPr>
                <w:szCs w:val="20"/>
              </w:rPr>
              <w:t>S. Louis (1893)</w:t>
            </w:r>
          </w:p>
          <w:p w14:paraId="681F9037" w14:textId="77777777" w:rsidR="000211D3" w:rsidRPr="00E54204" w:rsidRDefault="000211D3" w:rsidP="000211D3">
            <w:pPr>
              <w:rPr>
                <w:szCs w:val="20"/>
              </w:rPr>
            </w:pPr>
          </w:p>
        </w:tc>
        <w:tc>
          <w:tcPr>
            <w:tcW w:w="1309" w:type="dxa"/>
          </w:tcPr>
          <w:p w14:paraId="1DEC8DBC" w14:textId="77777777" w:rsidR="000211D3" w:rsidRPr="00E54204" w:rsidRDefault="000211D3" w:rsidP="000211D3">
            <w:pPr>
              <w:rPr>
                <w:szCs w:val="20"/>
              </w:rPr>
            </w:pPr>
          </w:p>
        </w:tc>
        <w:tc>
          <w:tcPr>
            <w:tcW w:w="1242" w:type="dxa"/>
          </w:tcPr>
          <w:p w14:paraId="17063386" w14:textId="77777777" w:rsidR="000211D3" w:rsidRPr="00E54204" w:rsidRDefault="000211D3" w:rsidP="000211D3">
            <w:pPr>
              <w:rPr>
                <w:szCs w:val="20"/>
              </w:rPr>
            </w:pPr>
          </w:p>
        </w:tc>
        <w:tc>
          <w:tcPr>
            <w:tcW w:w="1309" w:type="dxa"/>
          </w:tcPr>
          <w:p w14:paraId="63F3676E" w14:textId="77777777" w:rsidR="000211D3" w:rsidRPr="00E54204" w:rsidRDefault="000211D3" w:rsidP="000211D3">
            <w:pPr>
              <w:rPr>
                <w:szCs w:val="20"/>
              </w:rPr>
            </w:pPr>
          </w:p>
        </w:tc>
        <w:tc>
          <w:tcPr>
            <w:tcW w:w="1111" w:type="dxa"/>
          </w:tcPr>
          <w:p w14:paraId="0BD3D94E" w14:textId="77777777" w:rsidR="000211D3" w:rsidRPr="00E54204" w:rsidRDefault="000211D3" w:rsidP="000211D3">
            <w:pPr>
              <w:rPr>
                <w:szCs w:val="20"/>
              </w:rPr>
            </w:pPr>
          </w:p>
        </w:tc>
      </w:tr>
      <w:tr w:rsidR="000211D3" w:rsidRPr="00E54204" w14:paraId="55EC27DF" w14:textId="77777777" w:rsidTr="000211D3">
        <w:tc>
          <w:tcPr>
            <w:tcW w:w="1440" w:type="dxa"/>
          </w:tcPr>
          <w:p w14:paraId="2A528914" w14:textId="77777777" w:rsidR="000211D3" w:rsidRPr="00E54204" w:rsidRDefault="000211D3" w:rsidP="000211D3">
            <w:pPr>
              <w:rPr>
                <w:b/>
                <w:szCs w:val="20"/>
              </w:rPr>
            </w:pPr>
            <w:r w:rsidRPr="00E54204">
              <w:rPr>
                <w:b/>
                <w:szCs w:val="20"/>
              </w:rPr>
              <w:t xml:space="preserve">Divine </w:t>
            </w:r>
          </w:p>
          <w:p w14:paraId="3B6199E9" w14:textId="77777777" w:rsidR="000211D3" w:rsidRPr="00E54204" w:rsidRDefault="000211D3" w:rsidP="000211D3">
            <w:pPr>
              <w:rPr>
                <w:szCs w:val="20"/>
              </w:rPr>
            </w:pPr>
            <w:r w:rsidRPr="00E54204">
              <w:rPr>
                <w:b/>
                <w:szCs w:val="20"/>
              </w:rPr>
              <w:t>Harbinger</w:t>
            </w:r>
          </w:p>
        </w:tc>
        <w:tc>
          <w:tcPr>
            <w:tcW w:w="1440" w:type="dxa"/>
          </w:tcPr>
          <w:p w14:paraId="2A5A4AB9" w14:textId="77777777" w:rsidR="000211D3" w:rsidRPr="00E54204" w:rsidRDefault="000211D3" w:rsidP="000211D3">
            <w:pPr>
              <w:rPr>
                <w:szCs w:val="20"/>
              </w:rPr>
            </w:pPr>
            <w:r w:rsidRPr="00E54204">
              <w:rPr>
                <w:szCs w:val="20"/>
              </w:rPr>
              <w:t>Blau &amp; Kohler (1906)</w:t>
            </w:r>
          </w:p>
          <w:p w14:paraId="64F17532" w14:textId="77777777" w:rsidR="000211D3" w:rsidRPr="00E54204" w:rsidRDefault="000211D3" w:rsidP="000211D3">
            <w:pPr>
              <w:rPr>
                <w:szCs w:val="20"/>
              </w:rPr>
            </w:pPr>
          </w:p>
        </w:tc>
        <w:tc>
          <w:tcPr>
            <w:tcW w:w="1163" w:type="dxa"/>
          </w:tcPr>
          <w:p w14:paraId="1E29DEC6" w14:textId="77777777" w:rsidR="000211D3" w:rsidRPr="00E54204" w:rsidRDefault="000211D3" w:rsidP="000211D3">
            <w:pPr>
              <w:rPr>
                <w:szCs w:val="20"/>
              </w:rPr>
            </w:pPr>
            <w:r w:rsidRPr="00E54204">
              <w:rPr>
                <w:szCs w:val="20"/>
              </w:rPr>
              <w:t>A. Guttmann (1947)</w:t>
            </w:r>
          </w:p>
          <w:p w14:paraId="47542314" w14:textId="77777777" w:rsidR="000211D3" w:rsidRPr="00E54204" w:rsidRDefault="000211D3" w:rsidP="000211D3">
            <w:pPr>
              <w:rPr>
                <w:szCs w:val="20"/>
              </w:rPr>
            </w:pPr>
          </w:p>
        </w:tc>
        <w:tc>
          <w:tcPr>
            <w:tcW w:w="1309" w:type="dxa"/>
          </w:tcPr>
          <w:p w14:paraId="01D2853F" w14:textId="77777777" w:rsidR="000211D3" w:rsidRPr="00E54204" w:rsidRDefault="000211D3" w:rsidP="000211D3">
            <w:pPr>
              <w:rPr>
                <w:szCs w:val="20"/>
              </w:rPr>
            </w:pPr>
            <w:r w:rsidRPr="00E54204">
              <w:rPr>
                <w:szCs w:val="20"/>
              </w:rPr>
              <w:t>M. Bockmuehl (1990)</w:t>
            </w:r>
          </w:p>
          <w:p w14:paraId="044E603D" w14:textId="77777777" w:rsidR="000211D3" w:rsidRPr="00E54204" w:rsidRDefault="000211D3" w:rsidP="000211D3">
            <w:pPr>
              <w:rPr>
                <w:szCs w:val="20"/>
              </w:rPr>
            </w:pPr>
          </w:p>
        </w:tc>
        <w:tc>
          <w:tcPr>
            <w:tcW w:w="1242" w:type="dxa"/>
          </w:tcPr>
          <w:p w14:paraId="4DCEA6EE" w14:textId="77777777" w:rsidR="000211D3" w:rsidRPr="00E54204" w:rsidRDefault="000211D3" w:rsidP="000211D3">
            <w:pPr>
              <w:rPr>
                <w:szCs w:val="20"/>
              </w:rPr>
            </w:pPr>
            <w:r w:rsidRPr="00E54204">
              <w:rPr>
                <w:szCs w:val="20"/>
              </w:rPr>
              <w:t>A. G. Gottstein (2000)</w:t>
            </w:r>
          </w:p>
          <w:p w14:paraId="0BE6CDB9" w14:textId="77777777" w:rsidR="000211D3" w:rsidRPr="00E54204" w:rsidRDefault="000211D3" w:rsidP="000211D3">
            <w:pPr>
              <w:rPr>
                <w:szCs w:val="20"/>
              </w:rPr>
            </w:pPr>
          </w:p>
        </w:tc>
        <w:tc>
          <w:tcPr>
            <w:tcW w:w="1309" w:type="dxa"/>
          </w:tcPr>
          <w:p w14:paraId="306EF186" w14:textId="77777777" w:rsidR="000211D3" w:rsidRPr="00E54204" w:rsidRDefault="000211D3" w:rsidP="000211D3">
            <w:pPr>
              <w:rPr>
                <w:szCs w:val="20"/>
              </w:rPr>
            </w:pPr>
            <w:r w:rsidRPr="00E54204">
              <w:rPr>
                <w:szCs w:val="20"/>
              </w:rPr>
              <w:t>A. Rothkoff (2007)</w:t>
            </w:r>
          </w:p>
          <w:p w14:paraId="2B3467D0" w14:textId="77777777" w:rsidR="000211D3" w:rsidRPr="00E54204" w:rsidRDefault="000211D3" w:rsidP="000211D3">
            <w:pPr>
              <w:rPr>
                <w:szCs w:val="20"/>
              </w:rPr>
            </w:pPr>
          </w:p>
        </w:tc>
        <w:tc>
          <w:tcPr>
            <w:tcW w:w="1111" w:type="dxa"/>
          </w:tcPr>
          <w:p w14:paraId="147F7101" w14:textId="77777777" w:rsidR="000211D3" w:rsidRPr="00E54204" w:rsidRDefault="000211D3" w:rsidP="000211D3">
            <w:pPr>
              <w:rPr>
                <w:szCs w:val="20"/>
              </w:rPr>
            </w:pPr>
            <w:r w:rsidRPr="00E54204">
              <w:rPr>
                <w:szCs w:val="20"/>
              </w:rPr>
              <w:t>K. Lindbeck (2010)</w:t>
            </w:r>
          </w:p>
          <w:p w14:paraId="781EF00D" w14:textId="77777777" w:rsidR="000211D3" w:rsidRPr="00E54204" w:rsidRDefault="000211D3" w:rsidP="000211D3">
            <w:pPr>
              <w:rPr>
                <w:szCs w:val="20"/>
              </w:rPr>
            </w:pPr>
          </w:p>
        </w:tc>
      </w:tr>
      <w:tr w:rsidR="000211D3" w:rsidRPr="00E54204" w14:paraId="5058F90D" w14:textId="77777777" w:rsidTr="000211D3">
        <w:tc>
          <w:tcPr>
            <w:tcW w:w="1440" w:type="dxa"/>
          </w:tcPr>
          <w:p w14:paraId="5FC2674F" w14:textId="77777777" w:rsidR="000211D3" w:rsidRPr="00E54204" w:rsidRDefault="000211D3" w:rsidP="000211D3">
            <w:pPr>
              <w:rPr>
                <w:b/>
                <w:szCs w:val="20"/>
              </w:rPr>
            </w:pPr>
            <w:r w:rsidRPr="00E54204">
              <w:rPr>
                <w:b/>
                <w:szCs w:val="20"/>
              </w:rPr>
              <w:t>Lesser Form of Prophecy</w:t>
            </w:r>
          </w:p>
        </w:tc>
        <w:tc>
          <w:tcPr>
            <w:tcW w:w="1440" w:type="dxa"/>
          </w:tcPr>
          <w:p w14:paraId="40021E9C" w14:textId="77777777" w:rsidR="000211D3" w:rsidRPr="00E54204" w:rsidRDefault="005472B8" w:rsidP="000211D3">
            <w:pPr>
              <w:rPr>
                <w:szCs w:val="20"/>
              </w:rPr>
            </w:pPr>
            <w:r w:rsidRPr="00E54204">
              <w:rPr>
                <w:szCs w:val="20"/>
              </w:rPr>
              <w:t>J. Nicholson (18</w:t>
            </w:r>
            <w:r w:rsidR="000211D3" w:rsidRPr="00E54204">
              <w:rPr>
                <w:szCs w:val="20"/>
              </w:rPr>
              <w:t>5</w:t>
            </w:r>
            <w:r w:rsidRPr="00E54204">
              <w:rPr>
                <w:szCs w:val="20"/>
              </w:rPr>
              <w:t>8</w:t>
            </w:r>
            <w:r w:rsidR="000211D3" w:rsidRPr="00E54204">
              <w:rPr>
                <w:szCs w:val="20"/>
              </w:rPr>
              <w:t>)</w:t>
            </w:r>
          </w:p>
          <w:p w14:paraId="2C5D2981" w14:textId="77777777" w:rsidR="000211D3" w:rsidRPr="00E54204" w:rsidRDefault="000211D3" w:rsidP="000211D3">
            <w:pPr>
              <w:rPr>
                <w:szCs w:val="20"/>
              </w:rPr>
            </w:pPr>
          </w:p>
        </w:tc>
        <w:tc>
          <w:tcPr>
            <w:tcW w:w="1163" w:type="dxa"/>
          </w:tcPr>
          <w:p w14:paraId="0D0E03BF" w14:textId="77777777" w:rsidR="000211D3" w:rsidRPr="00E54204" w:rsidRDefault="000211D3" w:rsidP="000211D3">
            <w:pPr>
              <w:rPr>
                <w:szCs w:val="20"/>
              </w:rPr>
            </w:pPr>
            <w:r w:rsidRPr="00E54204">
              <w:rPr>
                <w:szCs w:val="20"/>
              </w:rPr>
              <w:t>M. Kadushin (1952)</w:t>
            </w:r>
          </w:p>
          <w:p w14:paraId="6DB26D9B" w14:textId="77777777" w:rsidR="000211D3" w:rsidRPr="00E54204" w:rsidRDefault="000211D3" w:rsidP="000211D3">
            <w:pPr>
              <w:rPr>
                <w:szCs w:val="20"/>
              </w:rPr>
            </w:pPr>
          </w:p>
        </w:tc>
        <w:tc>
          <w:tcPr>
            <w:tcW w:w="1309" w:type="dxa"/>
          </w:tcPr>
          <w:p w14:paraId="7123CE7D" w14:textId="77777777" w:rsidR="000211D3" w:rsidRPr="00E54204" w:rsidRDefault="000211D3" w:rsidP="000211D3">
            <w:pPr>
              <w:rPr>
                <w:szCs w:val="20"/>
              </w:rPr>
            </w:pPr>
            <w:r w:rsidRPr="00E54204">
              <w:rPr>
                <w:szCs w:val="20"/>
              </w:rPr>
              <w:t>A.J. Heschel (1966)</w:t>
            </w:r>
          </w:p>
          <w:p w14:paraId="05B582EE" w14:textId="77777777" w:rsidR="000211D3" w:rsidRPr="00E54204" w:rsidRDefault="000211D3" w:rsidP="000211D3">
            <w:pPr>
              <w:rPr>
                <w:szCs w:val="20"/>
              </w:rPr>
            </w:pPr>
          </w:p>
        </w:tc>
        <w:tc>
          <w:tcPr>
            <w:tcW w:w="1242" w:type="dxa"/>
          </w:tcPr>
          <w:p w14:paraId="1F6C9F22" w14:textId="77777777" w:rsidR="000211D3" w:rsidRPr="00E54204" w:rsidRDefault="000211D3" w:rsidP="000211D3">
            <w:pPr>
              <w:rPr>
                <w:szCs w:val="20"/>
              </w:rPr>
            </w:pPr>
            <w:r w:rsidRPr="00E54204">
              <w:rPr>
                <w:szCs w:val="20"/>
              </w:rPr>
              <w:t>N. Glatzer (1978)</w:t>
            </w:r>
          </w:p>
          <w:p w14:paraId="25219772" w14:textId="77777777" w:rsidR="000211D3" w:rsidRPr="00E54204" w:rsidRDefault="000211D3" w:rsidP="000211D3">
            <w:pPr>
              <w:rPr>
                <w:szCs w:val="20"/>
              </w:rPr>
            </w:pPr>
          </w:p>
        </w:tc>
        <w:tc>
          <w:tcPr>
            <w:tcW w:w="1309" w:type="dxa"/>
          </w:tcPr>
          <w:p w14:paraId="14BBBDD1" w14:textId="77777777" w:rsidR="000211D3" w:rsidRPr="00E54204" w:rsidRDefault="000211D3" w:rsidP="000211D3">
            <w:pPr>
              <w:rPr>
                <w:szCs w:val="20"/>
              </w:rPr>
            </w:pPr>
            <w:r w:rsidRPr="00E54204">
              <w:rPr>
                <w:szCs w:val="20"/>
              </w:rPr>
              <w:t>R. Gray (1993)</w:t>
            </w:r>
          </w:p>
          <w:p w14:paraId="016DC6C2" w14:textId="77777777" w:rsidR="000211D3" w:rsidRPr="00E54204" w:rsidRDefault="000211D3" w:rsidP="000211D3">
            <w:pPr>
              <w:rPr>
                <w:szCs w:val="20"/>
              </w:rPr>
            </w:pPr>
          </w:p>
        </w:tc>
        <w:tc>
          <w:tcPr>
            <w:tcW w:w="1111" w:type="dxa"/>
          </w:tcPr>
          <w:p w14:paraId="6B6EAD0E" w14:textId="77777777" w:rsidR="000211D3" w:rsidRPr="00E54204" w:rsidRDefault="000211D3" w:rsidP="000211D3">
            <w:pPr>
              <w:rPr>
                <w:szCs w:val="20"/>
              </w:rPr>
            </w:pPr>
            <w:r w:rsidRPr="00E54204">
              <w:rPr>
                <w:szCs w:val="20"/>
              </w:rPr>
              <w:t>L.S. Cook (2011)</w:t>
            </w:r>
          </w:p>
          <w:p w14:paraId="0FF1F537" w14:textId="77777777" w:rsidR="000211D3" w:rsidRPr="00E54204" w:rsidRDefault="000211D3" w:rsidP="000211D3">
            <w:pPr>
              <w:rPr>
                <w:szCs w:val="20"/>
              </w:rPr>
            </w:pPr>
          </w:p>
        </w:tc>
      </w:tr>
      <w:tr w:rsidR="000211D3" w:rsidRPr="00E54204" w14:paraId="6DEE71FF" w14:textId="77777777" w:rsidTr="000211D3">
        <w:tc>
          <w:tcPr>
            <w:tcW w:w="1440" w:type="dxa"/>
          </w:tcPr>
          <w:p w14:paraId="005738CD" w14:textId="77777777" w:rsidR="000211D3" w:rsidRPr="00E54204" w:rsidRDefault="000211D3" w:rsidP="000211D3">
            <w:pPr>
              <w:rPr>
                <w:b/>
                <w:szCs w:val="20"/>
              </w:rPr>
            </w:pPr>
            <w:r w:rsidRPr="00E54204">
              <w:rPr>
                <w:b/>
                <w:szCs w:val="20"/>
              </w:rPr>
              <w:t xml:space="preserve">Oracle/a voice </w:t>
            </w:r>
          </w:p>
          <w:p w14:paraId="2D2AB21E" w14:textId="77777777" w:rsidR="000211D3" w:rsidRPr="00E54204" w:rsidRDefault="000211D3" w:rsidP="000211D3">
            <w:pPr>
              <w:rPr>
                <w:szCs w:val="20"/>
              </w:rPr>
            </w:pPr>
            <w:r w:rsidRPr="00E54204">
              <w:rPr>
                <w:b/>
                <w:szCs w:val="20"/>
              </w:rPr>
              <w:t>from a Crowd</w:t>
            </w:r>
          </w:p>
        </w:tc>
        <w:tc>
          <w:tcPr>
            <w:tcW w:w="1440" w:type="dxa"/>
          </w:tcPr>
          <w:p w14:paraId="59FFF1BB" w14:textId="77777777" w:rsidR="000211D3" w:rsidRPr="00E54204" w:rsidRDefault="000211D3" w:rsidP="000211D3">
            <w:pPr>
              <w:rPr>
                <w:szCs w:val="20"/>
              </w:rPr>
            </w:pPr>
            <w:r w:rsidRPr="00E54204">
              <w:rPr>
                <w:szCs w:val="20"/>
              </w:rPr>
              <w:t>E. Abbott (1903)</w:t>
            </w:r>
          </w:p>
          <w:p w14:paraId="4AE96A13" w14:textId="77777777" w:rsidR="000211D3" w:rsidRPr="00E54204" w:rsidRDefault="000211D3" w:rsidP="000211D3">
            <w:pPr>
              <w:rPr>
                <w:szCs w:val="20"/>
              </w:rPr>
            </w:pPr>
          </w:p>
        </w:tc>
        <w:tc>
          <w:tcPr>
            <w:tcW w:w="1163" w:type="dxa"/>
          </w:tcPr>
          <w:p w14:paraId="77973E41" w14:textId="77777777" w:rsidR="000211D3" w:rsidRPr="00E54204" w:rsidRDefault="000211D3" w:rsidP="000211D3">
            <w:pPr>
              <w:rPr>
                <w:szCs w:val="20"/>
              </w:rPr>
            </w:pPr>
            <w:r w:rsidRPr="00E54204">
              <w:rPr>
                <w:szCs w:val="20"/>
              </w:rPr>
              <w:t>Blau &amp; Kohler (1906)</w:t>
            </w:r>
          </w:p>
          <w:p w14:paraId="003C3E46" w14:textId="77777777" w:rsidR="000211D3" w:rsidRPr="00E54204" w:rsidRDefault="000211D3" w:rsidP="000211D3">
            <w:pPr>
              <w:rPr>
                <w:szCs w:val="20"/>
              </w:rPr>
            </w:pPr>
          </w:p>
        </w:tc>
        <w:tc>
          <w:tcPr>
            <w:tcW w:w="1309" w:type="dxa"/>
          </w:tcPr>
          <w:p w14:paraId="222DC43F" w14:textId="77777777" w:rsidR="000211D3" w:rsidRPr="00E54204" w:rsidRDefault="000211D3" w:rsidP="000211D3">
            <w:pPr>
              <w:rPr>
                <w:szCs w:val="20"/>
              </w:rPr>
            </w:pPr>
            <w:r w:rsidRPr="00E54204">
              <w:rPr>
                <w:szCs w:val="20"/>
              </w:rPr>
              <w:t>A. Guttmann (1947)</w:t>
            </w:r>
          </w:p>
          <w:p w14:paraId="50CE5CEF" w14:textId="77777777" w:rsidR="000211D3" w:rsidRPr="00E54204" w:rsidRDefault="000211D3" w:rsidP="000211D3">
            <w:pPr>
              <w:rPr>
                <w:szCs w:val="20"/>
              </w:rPr>
            </w:pPr>
          </w:p>
        </w:tc>
        <w:tc>
          <w:tcPr>
            <w:tcW w:w="1242" w:type="dxa"/>
          </w:tcPr>
          <w:p w14:paraId="17D01FF5" w14:textId="77777777" w:rsidR="000211D3" w:rsidRPr="00E54204" w:rsidRDefault="000211D3" w:rsidP="000211D3">
            <w:pPr>
              <w:rPr>
                <w:szCs w:val="20"/>
              </w:rPr>
            </w:pPr>
            <w:r w:rsidRPr="00E54204">
              <w:rPr>
                <w:szCs w:val="20"/>
              </w:rPr>
              <w:t>S. Lieberman (1950)</w:t>
            </w:r>
          </w:p>
          <w:p w14:paraId="2666B965" w14:textId="77777777" w:rsidR="000211D3" w:rsidRPr="00E54204" w:rsidRDefault="000211D3" w:rsidP="000211D3">
            <w:pPr>
              <w:rPr>
                <w:szCs w:val="20"/>
              </w:rPr>
            </w:pPr>
          </w:p>
        </w:tc>
        <w:tc>
          <w:tcPr>
            <w:tcW w:w="1309" w:type="dxa"/>
          </w:tcPr>
          <w:p w14:paraId="4DE324CB" w14:textId="77777777" w:rsidR="000211D3" w:rsidRPr="00E54204" w:rsidRDefault="000211D3" w:rsidP="000211D3">
            <w:pPr>
              <w:rPr>
                <w:szCs w:val="20"/>
              </w:rPr>
            </w:pPr>
            <w:r w:rsidRPr="00E54204">
              <w:rPr>
                <w:szCs w:val="20"/>
              </w:rPr>
              <w:t>M. Bockmuehl (1990)</w:t>
            </w:r>
          </w:p>
          <w:p w14:paraId="1E075611" w14:textId="77777777" w:rsidR="000211D3" w:rsidRPr="00E54204" w:rsidRDefault="000211D3" w:rsidP="000211D3">
            <w:pPr>
              <w:rPr>
                <w:szCs w:val="20"/>
              </w:rPr>
            </w:pPr>
          </w:p>
        </w:tc>
        <w:tc>
          <w:tcPr>
            <w:tcW w:w="1111" w:type="dxa"/>
          </w:tcPr>
          <w:p w14:paraId="1A7D873F" w14:textId="77777777" w:rsidR="000211D3" w:rsidRPr="00E54204" w:rsidRDefault="000211D3" w:rsidP="000211D3">
            <w:pPr>
              <w:rPr>
                <w:szCs w:val="20"/>
              </w:rPr>
            </w:pPr>
            <w:r w:rsidRPr="00E54204">
              <w:rPr>
                <w:szCs w:val="20"/>
              </w:rPr>
              <w:t>K. Lindbeck (2010)</w:t>
            </w:r>
          </w:p>
          <w:p w14:paraId="5CBA30C9" w14:textId="77777777" w:rsidR="000211D3" w:rsidRPr="00E54204" w:rsidRDefault="000211D3" w:rsidP="000211D3">
            <w:pPr>
              <w:rPr>
                <w:szCs w:val="20"/>
              </w:rPr>
            </w:pPr>
          </w:p>
        </w:tc>
      </w:tr>
      <w:tr w:rsidR="000211D3" w:rsidRPr="00E54204" w14:paraId="1916B5A8" w14:textId="77777777" w:rsidTr="000211D3">
        <w:tc>
          <w:tcPr>
            <w:tcW w:w="1440" w:type="dxa"/>
          </w:tcPr>
          <w:p w14:paraId="6F9841D0" w14:textId="77777777" w:rsidR="000211D3" w:rsidRPr="00E54204" w:rsidRDefault="000211D3" w:rsidP="000211D3">
            <w:pPr>
              <w:rPr>
                <w:b/>
                <w:szCs w:val="20"/>
              </w:rPr>
            </w:pPr>
            <w:r w:rsidRPr="00E54204">
              <w:rPr>
                <w:b/>
                <w:szCs w:val="20"/>
              </w:rPr>
              <w:t>Haggadic</w:t>
            </w:r>
          </w:p>
          <w:p w14:paraId="3F21C445" w14:textId="77777777" w:rsidR="000211D3" w:rsidRPr="00E54204" w:rsidRDefault="000211D3" w:rsidP="000211D3">
            <w:pPr>
              <w:rPr>
                <w:szCs w:val="20"/>
              </w:rPr>
            </w:pPr>
            <w:r w:rsidRPr="00E54204">
              <w:rPr>
                <w:b/>
                <w:szCs w:val="20"/>
              </w:rPr>
              <w:t>Material</w:t>
            </w:r>
          </w:p>
        </w:tc>
        <w:tc>
          <w:tcPr>
            <w:tcW w:w="1440" w:type="dxa"/>
          </w:tcPr>
          <w:p w14:paraId="0D7360B6" w14:textId="77777777" w:rsidR="000211D3" w:rsidRPr="00E54204" w:rsidRDefault="000211D3" w:rsidP="000211D3">
            <w:pPr>
              <w:rPr>
                <w:szCs w:val="20"/>
              </w:rPr>
            </w:pPr>
            <w:r w:rsidRPr="00E54204">
              <w:rPr>
                <w:szCs w:val="20"/>
              </w:rPr>
              <w:t>A. Marmorstein (1950)</w:t>
            </w:r>
          </w:p>
          <w:p w14:paraId="1E51F133" w14:textId="77777777" w:rsidR="000211D3" w:rsidRPr="00E54204" w:rsidRDefault="000211D3" w:rsidP="000211D3">
            <w:pPr>
              <w:rPr>
                <w:szCs w:val="20"/>
              </w:rPr>
            </w:pPr>
          </w:p>
        </w:tc>
        <w:tc>
          <w:tcPr>
            <w:tcW w:w="1163" w:type="dxa"/>
          </w:tcPr>
          <w:p w14:paraId="489EE527" w14:textId="77777777" w:rsidR="000211D3" w:rsidRPr="00E54204" w:rsidRDefault="000211D3" w:rsidP="000211D3">
            <w:pPr>
              <w:rPr>
                <w:szCs w:val="20"/>
              </w:rPr>
            </w:pPr>
            <w:r w:rsidRPr="00E54204">
              <w:rPr>
                <w:szCs w:val="20"/>
              </w:rPr>
              <w:t>O. Betz (1974)</w:t>
            </w:r>
          </w:p>
          <w:p w14:paraId="12C9E8C8" w14:textId="77777777" w:rsidR="000211D3" w:rsidRPr="00E54204" w:rsidRDefault="000211D3" w:rsidP="000211D3">
            <w:pPr>
              <w:rPr>
                <w:szCs w:val="20"/>
              </w:rPr>
            </w:pPr>
          </w:p>
        </w:tc>
        <w:tc>
          <w:tcPr>
            <w:tcW w:w="1309" w:type="dxa"/>
          </w:tcPr>
          <w:p w14:paraId="66F3EB70" w14:textId="77777777" w:rsidR="000211D3" w:rsidRPr="00E54204" w:rsidRDefault="000211D3" w:rsidP="000211D3">
            <w:pPr>
              <w:rPr>
                <w:szCs w:val="20"/>
              </w:rPr>
            </w:pPr>
          </w:p>
        </w:tc>
        <w:tc>
          <w:tcPr>
            <w:tcW w:w="1242" w:type="dxa"/>
          </w:tcPr>
          <w:p w14:paraId="369C1D07" w14:textId="77777777" w:rsidR="000211D3" w:rsidRPr="00E54204" w:rsidRDefault="000211D3" w:rsidP="000211D3">
            <w:pPr>
              <w:rPr>
                <w:szCs w:val="20"/>
              </w:rPr>
            </w:pPr>
          </w:p>
        </w:tc>
        <w:tc>
          <w:tcPr>
            <w:tcW w:w="1309" w:type="dxa"/>
          </w:tcPr>
          <w:p w14:paraId="1E125A41" w14:textId="77777777" w:rsidR="000211D3" w:rsidRPr="00E54204" w:rsidRDefault="000211D3" w:rsidP="000211D3">
            <w:pPr>
              <w:rPr>
                <w:szCs w:val="20"/>
              </w:rPr>
            </w:pPr>
          </w:p>
        </w:tc>
        <w:tc>
          <w:tcPr>
            <w:tcW w:w="1111" w:type="dxa"/>
          </w:tcPr>
          <w:p w14:paraId="411D38BE" w14:textId="77777777" w:rsidR="000211D3" w:rsidRPr="00E54204" w:rsidRDefault="000211D3" w:rsidP="000211D3">
            <w:pPr>
              <w:rPr>
                <w:szCs w:val="20"/>
              </w:rPr>
            </w:pPr>
          </w:p>
        </w:tc>
      </w:tr>
    </w:tbl>
    <w:p w14:paraId="17439F56" w14:textId="77777777" w:rsidR="000211D3" w:rsidRPr="00E54204" w:rsidRDefault="000211D3" w:rsidP="000211D3">
      <w:pPr>
        <w:spacing w:after="160"/>
        <w:rPr>
          <w:szCs w:val="20"/>
        </w:rPr>
      </w:pPr>
    </w:p>
    <w:p w14:paraId="18446DA7" w14:textId="77777777" w:rsidR="00A835BF" w:rsidRPr="00E54204" w:rsidRDefault="00801AC2" w:rsidP="000211D3">
      <w:pPr>
        <w:spacing w:after="160"/>
        <w:ind w:firstLine="720"/>
        <w:rPr>
          <w:rFonts w:cs="Times New Roman"/>
          <w:szCs w:val="20"/>
        </w:rPr>
      </w:pPr>
      <w:r w:rsidRPr="00E54204">
        <w:rPr>
          <w:rFonts w:cs="Times New Roman"/>
          <w:szCs w:val="20"/>
        </w:rPr>
        <w:t>T</w:t>
      </w:r>
      <w:r w:rsidR="00AA1903" w:rsidRPr="00E54204">
        <w:rPr>
          <w:rFonts w:cs="Times New Roman"/>
          <w:szCs w:val="20"/>
        </w:rPr>
        <w:t>here are degrees of overlap</w:t>
      </w:r>
      <w:r w:rsidR="00FD1A92" w:rsidRPr="00E54204">
        <w:rPr>
          <w:rFonts w:cs="Times New Roman"/>
          <w:szCs w:val="20"/>
        </w:rPr>
        <w:t xml:space="preserve"> among scholars in terms of definitions and</w:t>
      </w:r>
      <w:r w:rsidR="00B77102" w:rsidRPr="00E54204">
        <w:rPr>
          <w:rFonts w:cs="Times New Roman"/>
          <w:szCs w:val="20"/>
        </w:rPr>
        <w:t xml:space="preserve"> functions</w:t>
      </w:r>
      <w:r w:rsidR="001D4E0B" w:rsidRPr="00E54204">
        <w:rPr>
          <w:rFonts w:cs="Times New Roman"/>
          <w:szCs w:val="20"/>
        </w:rPr>
        <w:t>.  For example, Nicholson, Kadushin</w:t>
      </w:r>
      <w:r w:rsidR="00836014" w:rsidRPr="00E54204">
        <w:rPr>
          <w:rFonts w:cs="Times New Roman"/>
          <w:szCs w:val="20"/>
        </w:rPr>
        <w:t>, and Heschel</w:t>
      </w:r>
      <w:r w:rsidR="0092427B" w:rsidRPr="00E54204">
        <w:rPr>
          <w:rFonts w:cs="Times New Roman"/>
          <w:szCs w:val="20"/>
        </w:rPr>
        <w:t xml:space="preserve"> all </w:t>
      </w:r>
      <w:r w:rsidR="001B397F" w:rsidRPr="00E54204">
        <w:rPr>
          <w:rFonts w:cs="Times New Roman"/>
          <w:szCs w:val="20"/>
        </w:rPr>
        <w:t xml:space="preserve">identified the </w:t>
      </w:r>
      <w:r w:rsidR="001B397F" w:rsidRPr="00E54204">
        <w:rPr>
          <w:rFonts w:cs="Times New Roman"/>
          <w:i/>
          <w:szCs w:val="20"/>
        </w:rPr>
        <w:t xml:space="preserve">bat kol </w:t>
      </w:r>
      <w:r w:rsidR="001B397F" w:rsidRPr="00E54204">
        <w:rPr>
          <w:rFonts w:cs="Times New Roman"/>
          <w:szCs w:val="20"/>
        </w:rPr>
        <w:t>a</w:t>
      </w:r>
      <w:r w:rsidR="00B77102" w:rsidRPr="00E54204">
        <w:rPr>
          <w:rFonts w:cs="Times New Roman"/>
          <w:szCs w:val="20"/>
        </w:rPr>
        <w:t>s a lower grade of prophecy</w:t>
      </w:r>
      <w:r w:rsidR="001B397F" w:rsidRPr="00E54204">
        <w:rPr>
          <w:rFonts w:cs="Times New Roman"/>
          <w:szCs w:val="20"/>
        </w:rPr>
        <w:t xml:space="preserve"> popular during Second Temple times.</w:t>
      </w:r>
      <w:r w:rsidR="001D4E0B" w:rsidRPr="00E54204">
        <w:rPr>
          <w:rFonts w:cs="Times New Roman"/>
          <w:szCs w:val="20"/>
        </w:rPr>
        <w:t xml:space="preserve">  </w:t>
      </w:r>
      <w:r w:rsidR="00BF4657" w:rsidRPr="00E54204">
        <w:rPr>
          <w:szCs w:val="20"/>
        </w:rPr>
        <w:t>John Nicholson and S. Louis</w:t>
      </w:r>
      <w:r w:rsidR="00BF4657" w:rsidRPr="00E54204">
        <w:rPr>
          <w:rFonts w:cs="Times New Roman"/>
          <w:szCs w:val="20"/>
        </w:rPr>
        <w:t xml:space="preserve"> mentioned</w:t>
      </w:r>
      <w:r w:rsidR="001B397F" w:rsidRPr="00E54204">
        <w:rPr>
          <w:rFonts w:cs="Times New Roman"/>
          <w:szCs w:val="20"/>
        </w:rPr>
        <w:t xml:space="preserve"> the possibility of the </w:t>
      </w:r>
      <w:r w:rsidR="001B397F" w:rsidRPr="00E54204">
        <w:rPr>
          <w:rFonts w:cs="Times New Roman"/>
          <w:i/>
          <w:szCs w:val="20"/>
        </w:rPr>
        <w:t xml:space="preserve">bat kol </w:t>
      </w:r>
      <w:r w:rsidR="001B397F" w:rsidRPr="00E54204">
        <w:rPr>
          <w:rFonts w:cs="Times New Roman"/>
          <w:szCs w:val="20"/>
        </w:rPr>
        <w:t xml:space="preserve">representing the thoughts </w:t>
      </w:r>
      <w:r w:rsidR="00B77102" w:rsidRPr="00E54204">
        <w:rPr>
          <w:rFonts w:cs="Times New Roman"/>
          <w:szCs w:val="20"/>
        </w:rPr>
        <w:t>of the inner people</w:t>
      </w:r>
      <w:r w:rsidR="00C84773" w:rsidRPr="00E54204">
        <w:rPr>
          <w:rFonts w:cs="Times New Roman"/>
          <w:szCs w:val="20"/>
        </w:rPr>
        <w:t xml:space="preserve"> or </w:t>
      </w:r>
      <w:r w:rsidR="00C7798E" w:rsidRPr="00E54204">
        <w:rPr>
          <w:rFonts w:cs="Times New Roman"/>
          <w:szCs w:val="20"/>
        </w:rPr>
        <w:t xml:space="preserve">a </w:t>
      </w:r>
      <w:r w:rsidR="00C84773" w:rsidRPr="00E54204">
        <w:rPr>
          <w:rFonts w:cs="Times New Roman"/>
          <w:szCs w:val="20"/>
        </w:rPr>
        <w:t xml:space="preserve">random </w:t>
      </w:r>
      <w:r w:rsidR="00C7798E" w:rsidRPr="00E54204">
        <w:rPr>
          <w:rFonts w:cs="Times New Roman"/>
          <w:szCs w:val="20"/>
        </w:rPr>
        <w:t>voic</w:t>
      </w:r>
      <w:r w:rsidR="00C84773" w:rsidRPr="00E54204">
        <w:rPr>
          <w:rFonts w:cs="Times New Roman"/>
          <w:szCs w:val="20"/>
        </w:rPr>
        <w:t>e from among a crowd.</w:t>
      </w:r>
      <w:r w:rsidR="0015204B" w:rsidRPr="00E54204">
        <w:rPr>
          <w:rFonts w:cs="Times New Roman"/>
          <w:szCs w:val="20"/>
        </w:rPr>
        <w:t xml:space="preserve">  Other scholars such as </w:t>
      </w:r>
      <w:r w:rsidR="00824EBC" w:rsidRPr="00E54204">
        <w:rPr>
          <w:rFonts w:cs="Times New Roman"/>
          <w:szCs w:val="20"/>
        </w:rPr>
        <w:t>Lieberman and Bockmuehl referred to its occasional oracular function</w:t>
      </w:r>
      <w:r w:rsidR="0015204B" w:rsidRPr="00E54204">
        <w:rPr>
          <w:rFonts w:cs="Times New Roman"/>
          <w:szCs w:val="20"/>
        </w:rPr>
        <w:t>, though such cases are</w:t>
      </w:r>
      <w:r w:rsidR="008B417F" w:rsidRPr="00E54204">
        <w:rPr>
          <w:rFonts w:cs="Times New Roman"/>
          <w:szCs w:val="20"/>
        </w:rPr>
        <w:t xml:space="preserve"> marginal</w:t>
      </w:r>
      <w:r w:rsidR="0015204B" w:rsidRPr="00E54204">
        <w:rPr>
          <w:rFonts w:cs="Times New Roman"/>
          <w:szCs w:val="20"/>
        </w:rPr>
        <w:t xml:space="preserve"> compared to other cases in the entire rabbinic corpus</w:t>
      </w:r>
      <w:r w:rsidR="0011609D" w:rsidRPr="00E54204">
        <w:rPr>
          <w:rFonts w:cs="Times New Roman"/>
          <w:szCs w:val="20"/>
        </w:rPr>
        <w:t>.</w:t>
      </w:r>
      <w:r w:rsidR="001D4E0B" w:rsidRPr="00E54204">
        <w:rPr>
          <w:rFonts w:cs="Times New Roman"/>
          <w:szCs w:val="20"/>
        </w:rPr>
        <w:t xml:space="preserve">  This thesis seeks to add more detail and perspective to this ongoing discussion.  I will </w:t>
      </w:r>
      <w:r w:rsidR="00A33F36" w:rsidRPr="00E54204">
        <w:rPr>
          <w:rFonts w:cs="Times New Roman"/>
          <w:szCs w:val="20"/>
        </w:rPr>
        <w:t>attempt</w:t>
      </w:r>
      <w:r w:rsidR="0015204B" w:rsidRPr="00E54204">
        <w:rPr>
          <w:rFonts w:cs="Times New Roman"/>
          <w:szCs w:val="20"/>
        </w:rPr>
        <w:t xml:space="preserve"> to</w:t>
      </w:r>
      <w:r w:rsidR="001D4E0B" w:rsidRPr="00E54204">
        <w:rPr>
          <w:rFonts w:cs="Times New Roman"/>
          <w:szCs w:val="20"/>
        </w:rPr>
        <w:t xml:space="preserve"> demonstrate that the </w:t>
      </w:r>
      <w:r w:rsidR="001D4E0B" w:rsidRPr="00E54204">
        <w:rPr>
          <w:rFonts w:cs="Times New Roman"/>
          <w:i/>
          <w:szCs w:val="20"/>
        </w:rPr>
        <w:t>bat kol</w:t>
      </w:r>
      <w:r w:rsidR="001D4E0B" w:rsidRPr="00E54204">
        <w:rPr>
          <w:rFonts w:cs="Times New Roman"/>
          <w:szCs w:val="20"/>
        </w:rPr>
        <w:t xml:space="preserve"> </w:t>
      </w:r>
      <w:r w:rsidR="0015204B" w:rsidRPr="00E54204">
        <w:rPr>
          <w:rFonts w:cs="Times New Roman"/>
          <w:szCs w:val="20"/>
        </w:rPr>
        <w:lastRenderedPageBreak/>
        <w:t>operates</w:t>
      </w:r>
      <w:r w:rsidR="001D4E0B" w:rsidRPr="00E54204">
        <w:rPr>
          <w:rFonts w:cs="Times New Roman"/>
          <w:szCs w:val="20"/>
        </w:rPr>
        <w:t>, primarily,</w:t>
      </w:r>
      <w:r w:rsidR="0015204B" w:rsidRPr="00E54204">
        <w:rPr>
          <w:rFonts w:cs="Times New Roman"/>
          <w:szCs w:val="20"/>
        </w:rPr>
        <w:t xml:space="preserve"> as a divine mouthpiece that reveals information concerning individuals</w:t>
      </w:r>
      <w:r w:rsidR="00363960" w:rsidRPr="00E54204">
        <w:rPr>
          <w:rFonts w:cs="Times New Roman"/>
          <w:szCs w:val="20"/>
        </w:rPr>
        <w:t>’ status in this world and</w:t>
      </w:r>
      <w:r w:rsidR="000211D3" w:rsidRPr="00E54204">
        <w:rPr>
          <w:rFonts w:cs="Times New Roman"/>
          <w:szCs w:val="20"/>
        </w:rPr>
        <w:t xml:space="preserve"> in</w:t>
      </w:r>
      <w:r w:rsidR="00363960" w:rsidRPr="00E54204">
        <w:rPr>
          <w:rFonts w:cs="Times New Roman"/>
          <w:szCs w:val="20"/>
        </w:rPr>
        <w:t xml:space="preserve"> the “world to come.”  </w:t>
      </w:r>
      <w:r w:rsidR="001D4E0B" w:rsidRPr="00E54204">
        <w:rPr>
          <w:rFonts w:cs="Times New Roman"/>
          <w:szCs w:val="20"/>
        </w:rPr>
        <w:t xml:space="preserve">By the same token, </w:t>
      </w:r>
      <w:r w:rsidR="00363960" w:rsidRPr="00E54204">
        <w:rPr>
          <w:rFonts w:cs="Times New Roman"/>
          <w:szCs w:val="20"/>
        </w:rPr>
        <w:t xml:space="preserve">I </w:t>
      </w:r>
      <w:r w:rsidR="001D4E0B" w:rsidRPr="00E54204">
        <w:rPr>
          <w:rFonts w:cs="Times New Roman"/>
          <w:szCs w:val="20"/>
        </w:rPr>
        <w:t>suggest,</w:t>
      </w:r>
      <w:r w:rsidR="00363960" w:rsidRPr="00E54204">
        <w:rPr>
          <w:rFonts w:cs="Times New Roman"/>
          <w:szCs w:val="20"/>
        </w:rPr>
        <w:t xml:space="preserve"> we</w:t>
      </w:r>
      <w:r w:rsidR="00A33F36" w:rsidRPr="00E54204">
        <w:rPr>
          <w:rFonts w:cs="Times New Roman"/>
          <w:szCs w:val="20"/>
        </w:rPr>
        <w:t xml:space="preserve"> discern</w:t>
      </w:r>
      <w:r w:rsidR="00A33F36" w:rsidRPr="00E54204">
        <w:rPr>
          <w:rFonts w:cs="Times New Roman"/>
          <w:i/>
          <w:szCs w:val="20"/>
        </w:rPr>
        <w:t xml:space="preserve"> </w:t>
      </w:r>
      <w:r w:rsidR="00E50A7D" w:rsidRPr="00E54204">
        <w:rPr>
          <w:rFonts w:cs="Times New Roman"/>
          <w:szCs w:val="20"/>
        </w:rPr>
        <w:t>the voice of t</w:t>
      </w:r>
      <w:r w:rsidR="000211D3" w:rsidRPr="00E54204">
        <w:rPr>
          <w:rFonts w:cs="Times New Roman"/>
          <w:szCs w:val="20"/>
        </w:rPr>
        <w:t xml:space="preserve">he sages instructing the people in typical </w:t>
      </w:r>
      <w:r w:rsidR="000211D3" w:rsidRPr="00E54204">
        <w:rPr>
          <w:rFonts w:cs="Times New Roman"/>
          <w:i/>
          <w:szCs w:val="20"/>
        </w:rPr>
        <w:t xml:space="preserve">Haggadic </w:t>
      </w:r>
      <w:r w:rsidR="001D4E0B" w:rsidRPr="00E54204">
        <w:rPr>
          <w:rFonts w:cs="Times New Roman"/>
          <w:szCs w:val="20"/>
        </w:rPr>
        <w:t>fashion through these stories which were delivered during the weekly homilies at the local synagogues.</w:t>
      </w:r>
    </w:p>
    <w:p w14:paraId="142F571E" w14:textId="77777777" w:rsidR="001C6CA2" w:rsidRPr="00E54204" w:rsidRDefault="00C7798E" w:rsidP="00C84773">
      <w:pPr>
        <w:spacing w:after="160"/>
        <w:ind w:firstLine="720"/>
        <w:rPr>
          <w:rFonts w:cs="Times New Roman"/>
          <w:szCs w:val="20"/>
        </w:rPr>
      </w:pPr>
      <w:r w:rsidRPr="00E54204">
        <w:rPr>
          <w:rFonts w:cs="Times New Roman"/>
          <w:szCs w:val="20"/>
        </w:rPr>
        <w:t xml:space="preserve">Another area of </w:t>
      </w:r>
      <w:r w:rsidR="00F927CD" w:rsidRPr="00E54204">
        <w:rPr>
          <w:rFonts w:cs="Times New Roman"/>
          <w:szCs w:val="20"/>
        </w:rPr>
        <w:t>overlap</w:t>
      </w:r>
      <w:r w:rsidR="00AA1903" w:rsidRPr="00E54204">
        <w:rPr>
          <w:rFonts w:cs="Times New Roman"/>
          <w:szCs w:val="20"/>
        </w:rPr>
        <w:t xml:space="preserve"> among</w:t>
      </w:r>
      <w:r w:rsidR="00712402" w:rsidRPr="00E54204">
        <w:rPr>
          <w:rFonts w:cs="Times New Roman"/>
          <w:szCs w:val="20"/>
        </w:rPr>
        <w:t xml:space="preserve"> </w:t>
      </w:r>
      <w:r w:rsidR="00AA1903" w:rsidRPr="00E54204">
        <w:rPr>
          <w:rFonts w:cs="Times New Roman"/>
          <w:szCs w:val="20"/>
        </w:rPr>
        <w:t xml:space="preserve">scholars is that the basic meaning of </w:t>
      </w:r>
      <w:r w:rsidR="00AA1903" w:rsidRPr="00E54204">
        <w:rPr>
          <w:rFonts w:cs="Times New Roman"/>
          <w:i/>
          <w:szCs w:val="20"/>
        </w:rPr>
        <w:t>bat</w:t>
      </w:r>
      <w:r w:rsidR="00AA1903" w:rsidRPr="00E54204">
        <w:rPr>
          <w:rFonts w:cs="Times New Roman"/>
          <w:szCs w:val="20"/>
        </w:rPr>
        <w:t xml:space="preserve"> is an “ech</w:t>
      </w:r>
      <w:r w:rsidRPr="00E54204">
        <w:rPr>
          <w:rFonts w:cs="Times New Roman"/>
          <w:szCs w:val="20"/>
        </w:rPr>
        <w:t>o” or “resonanc</w:t>
      </w:r>
      <w:r w:rsidR="0011609D" w:rsidRPr="00E54204">
        <w:rPr>
          <w:rFonts w:cs="Times New Roman"/>
          <w:szCs w:val="20"/>
        </w:rPr>
        <w:t>e.”</w:t>
      </w:r>
      <w:r w:rsidR="006443A1" w:rsidRPr="00E54204">
        <w:rPr>
          <w:rStyle w:val="FootnoteReference"/>
          <w:rFonts w:cs="Times New Roman"/>
          <w:szCs w:val="20"/>
        </w:rPr>
        <w:footnoteReference w:id="128"/>
      </w:r>
      <w:r w:rsidR="0011609D" w:rsidRPr="00E54204">
        <w:rPr>
          <w:rFonts w:cs="Times New Roman"/>
          <w:szCs w:val="20"/>
        </w:rPr>
        <w:t xml:space="preserve">  The main proof text for </w:t>
      </w:r>
      <w:r w:rsidR="00E6378D" w:rsidRPr="00E54204">
        <w:rPr>
          <w:rFonts w:cs="Times New Roman"/>
          <w:szCs w:val="20"/>
        </w:rPr>
        <w:t xml:space="preserve">this definition comes from the Midrash, </w:t>
      </w:r>
      <w:r w:rsidR="00E6378D" w:rsidRPr="00E54204">
        <w:rPr>
          <w:rFonts w:cs="Times New Roman"/>
          <w:i/>
          <w:szCs w:val="20"/>
        </w:rPr>
        <w:t>Canticles Rabbah</w:t>
      </w:r>
      <w:r w:rsidR="00E6378D" w:rsidRPr="00E54204">
        <w:rPr>
          <w:rFonts w:cs="Times New Roman"/>
          <w:szCs w:val="20"/>
        </w:rPr>
        <w:t xml:space="preserve"> 1:3</w:t>
      </w:r>
      <w:r w:rsidR="00C84773" w:rsidRPr="00E54204">
        <w:rPr>
          <w:rFonts w:cs="Times New Roman"/>
          <w:szCs w:val="20"/>
        </w:rPr>
        <w:t>, which</w:t>
      </w:r>
      <w:r w:rsidR="00F278CA" w:rsidRPr="00E54204">
        <w:rPr>
          <w:rFonts w:cs="Times New Roman"/>
          <w:szCs w:val="20"/>
        </w:rPr>
        <w:t xml:space="preserve"> reads, “</w:t>
      </w:r>
      <w:r w:rsidR="00C1115B" w:rsidRPr="00E54204">
        <w:rPr>
          <w:rFonts w:cs="Times New Roman"/>
          <w:szCs w:val="20"/>
        </w:rPr>
        <w:t>Just</w:t>
      </w:r>
      <w:r w:rsidR="00F278CA" w:rsidRPr="00E54204">
        <w:rPr>
          <w:rFonts w:cs="Times New Roman"/>
          <w:szCs w:val="20"/>
        </w:rPr>
        <w:t xml:space="preserve"> as this oil has no </w:t>
      </w:r>
      <w:r w:rsidR="00F278CA" w:rsidRPr="00E54204">
        <w:rPr>
          <w:rFonts w:cs="Times New Roman"/>
          <w:i/>
          <w:szCs w:val="20"/>
        </w:rPr>
        <w:t>bat kol</w:t>
      </w:r>
      <w:r w:rsidR="00F278CA" w:rsidRPr="00E54204">
        <w:rPr>
          <w:rFonts w:cs="Times New Roman"/>
          <w:szCs w:val="20"/>
        </w:rPr>
        <w:t xml:space="preserve"> [when poured</w:t>
      </w:r>
      <w:r w:rsidR="00C84773" w:rsidRPr="00E54204">
        <w:rPr>
          <w:rFonts w:cs="Times New Roman"/>
          <w:szCs w:val="20"/>
        </w:rPr>
        <w:t xml:space="preserve"> out</w:t>
      </w:r>
      <w:r w:rsidR="00F278CA" w:rsidRPr="00E54204">
        <w:rPr>
          <w:rFonts w:cs="Times New Roman"/>
          <w:szCs w:val="20"/>
        </w:rPr>
        <w:t>]</w:t>
      </w:r>
      <w:r w:rsidR="00F278CA" w:rsidRPr="00E54204">
        <w:rPr>
          <w:rFonts w:cs="Times New Roman"/>
          <w:i/>
          <w:szCs w:val="20"/>
        </w:rPr>
        <w:t xml:space="preserve"> </w:t>
      </w:r>
      <w:r w:rsidR="00F278CA" w:rsidRPr="00E54204">
        <w:rPr>
          <w:rFonts w:cs="Times New Roman"/>
          <w:szCs w:val="20"/>
        </w:rPr>
        <w:t xml:space="preserve">so also Israel will have no </w:t>
      </w:r>
      <w:r w:rsidR="00F278CA" w:rsidRPr="00E54204">
        <w:rPr>
          <w:rFonts w:cs="Times New Roman"/>
          <w:i/>
          <w:szCs w:val="20"/>
        </w:rPr>
        <w:t>bat kol</w:t>
      </w:r>
      <w:r w:rsidR="00F278CA" w:rsidRPr="00E54204">
        <w:rPr>
          <w:rFonts w:cs="Times New Roman"/>
          <w:szCs w:val="20"/>
        </w:rPr>
        <w:t xml:space="preserve"> in this world, but in the world to come.”</w:t>
      </w:r>
      <w:r w:rsidR="001C6CA2" w:rsidRPr="00E54204">
        <w:rPr>
          <w:rFonts w:cs="Times New Roman"/>
          <w:szCs w:val="20"/>
        </w:rPr>
        <w:t xml:space="preserve">  </w:t>
      </w:r>
      <w:r w:rsidR="0011609D" w:rsidRPr="00E54204">
        <w:rPr>
          <w:rFonts w:cs="Times New Roman"/>
          <w:szCs w:val="20"/>
        </w:rPr>
        <w:t xml:space="preserve">Conversely, </w:t>
      </w:r>
      <w:r w:rsidR="00F278CA" w:rsidRPr="00E54204">
        <w:rPr>
          <w:rFonts w:cs="Times New Roman"/>
          <w:szCs w:val="20"/>
        </w:rPr>
        <w:t xml:space="preserve">Blau and Kohler interpret </w:t>
      </w:r>
      <w:r w:rsidR="00F278CA" w:rsidRPr="00E54204">
        <w:rPr>
          <w:rFonts w:cs="Times New Roman"/>
          <w:i/>
          <w:szCs w:val="20"/>
        </w:rPr>
        <w:t xml:space="preserve">bat </w:t>
      </w:r>
      <w:r w:rsidR="00F278CA" w:rsidRPr="00E54204">
        <w:rPr>
          <w:rFonts w:cs="Times New Roman"/>
          <w:szCs w:val="20"/>
        </w:rPr>
        <w:t xml:space="preserve">as referring to a </w:t>
      </w:r>
      <w:r w:rsidR="00C1115B" w:rsidRPr="00E54204">
        <w:rPr>
          <w:rFonts w:cs="Times New Roman"/>
          <w:szCs w:val="20"/>
        </w:rPr>
        <w:t>disembodied</w:t>
      </w:r>
      <w:r w:rsidR="00F278CA" w:rsidRPr="00E54204">
        <w:rPr>
          <w:rFonts w:cs="Times New Roman"/>
          <w:szCs w:val="20"/>
        </w:rPr>
        <w:t xml:space="preserve"> voice and the kind of quality of the voice heard.</w:t>
      </w:r>
    </w:p>
    <w:p w14:paraId="772DDD42" w14:textId="77777777" w:rsidR="00AA1903" w:rsidRPr="00E54204" w:rsidRDefault="00C8400C" w:rsidP="00C84773">
      <w:pPr>
        <w:spacing w:after="160"/>
        <w:ind w:firstLine="720"/>
        <w:rPr>
          <w:rFonts w:cs="Times New Roman"/>
          <w:szCs w:val="20"/>
        </w:rPr>
      </w:pPr>
      <w:r w:rsidRPr="00E54204">
        <w:rPr>
          <w:rFonts w:cs="Times New Roman"/>
          <w:szCs w:val="20"/>
        </w:rPr>
        <w:t>Kristen Lindbeck suggests that</w:t>
      </w:r>
      <w:r w:rsidR="00AA1903" w:rsidRPr="00E54204">
        <w:rPr>
          <w:rFonts w:cs="Times New Roman"/>
          <w:szCs w:val="20"/>
        </w:rPr>
        <w:t xml:space="preserve"> it invokes the imager</w:t>
      </w:r>
      <w:r w:rsidR="00A835BF" w:rsidRPr="00E54204">
        <w:rPr>
          <w:rFonts w:cs="Times New Roman"/>
          <w:szCs w:val="20"/>
        </w:rPr>
        <w:t>y of a “cosmic loudspeaker” which</w:t>
      </w:r>
      <w:r w:rsidR="00712402" w:rsidRPr="00E54204">
        <w:rPr>
          <w:rFonts w:cs="Times New Roman"/>
          <w:szCs w:val="20"/>
        </w:rPr>
        <w:t xml:space="preserve"> proclaims that which the heavenly King</w:t>
      </w:r>
      <w:r w:rsidR="00AA1903" w:rsidRPr="00E54204">
        <w:rPr>
          <w:rFonts w:cs="Times New Roman"/>
          <w:szCs w:val="20"/>
        </w:rPr>
        <w:t xml:space="preserve"> decreed.</w:t>
      </w:r>
      <w:r w:rsidR="0078659B" w:rsidRPr="00E54204">
        <w:rPr>
          <w:rFonts w:cs="Times New Roman"/>
          <w:szCs w:val="20"/>
        </w:rPr>
        <w:t xml:space="preserve">  In this regard, the </w:t>
      </w:r>
      <w:r w:rsidR="0078659B" w:rsidRPr="00E54204">
        <w:rPr>
          <w:rFonts w:cs="Times New Roman"/>
          <w:i/>
          <w:szCs w:val="20"/>
        </w:rPr>
        <w:t xml:space="preserve">bat kol </w:t>
      </w:r>
      <w:r w:rsidR="0078659B" w:rsidRPr="00E54204">
        <w:rPr>
          <w:rFonts w:cs="Times New Roman"/>
          <w:szCs w:val="20"/>
        </w:rPr>
        <w:t xml:space="preserve">is comparable with </w:t>
      </w:r>
      <w:r w:rsidR="00AA1903" w:rsidRPr="00E54204">
        <w:rPr>
          <w:rFonts w:cs="Times New Roman"/>
          <w:szCs w:val="20"/>
        </w:rPr>
        <w:t>angelic beings and their conventional task</w:t>
      </w:r>
      <w:r w:rsidR="0078659B" w:rsidRPr="00E54204">
        <w:rPr>
          <w:rFonts w:cs="Times New Roman"/>
          <w:szCs w:val="20"/>
        </w:rPr>
        <w:t xml:space="preserve"> as divine messengers.  It is not surprising, therefore, that</w:t>
      </w:r>
      <w:r w:rsidR="00F278CA" w:rsidRPr="00E54204">
        <w:rPr>
          <w:rFonts w:cs="Times New Roman"/>
          <w:szCs w:val="20"/>
        </w:rPr>
        <w:t xml:space="preserve"> in at least one reference the angel Gabriel is identified with the </w:t>
      </w:r>
      <w:r w:rsidR="00F278CA" w:rsidRPr="00E54204">
        <w:rPr>
          <w:rFonts w:cs="Times New Roman"/>
          <w:i/>
          <w:szCs w:val="20"/>
        </w:rPr>
        <w:t>bat kol</w:t>
      </w:r>
      <w:r w:rsidR="00F278CA" w:rsidRPr="00E54204">
        <w:rPr>
          <w:rFonts w:cs="Times New Roman"/>
          <w:szCs w:val="20"/>
        </w:rPr>
        <w:t>.</w:t>
      </w:r>
      <w:r w:rsidR="00A835BF" w:rsidRPr="00E54204">
        <w:rPr>
          <w:rFonts w:cs="Times New Roman"/>
          <w:szCs w:val="20"/>
        </w:rPr>
        <w:t xml:space="preserve">  </w:t>
      </w:r>
      <w:r w:rsidR="0015204B" w:rsidRPr="00E54204">
        <w:rPr>
          <w:rFonts w:cs="Times New Roman"/>
          <w:szCs w:val="20"/>
        </w:rPr>
        <w:t>Still</w:t>
      </w:r>
      <w:r w:rsidR="00B77102" w:rsidRPr="00E54204">
        <w:rPr>
          <w:rFonts w:cs="Times New Roman"/>
          <w:szCs w:val="20"/>
        </w:rPr>
        <w:t>,</w:t>
      </w:r>
      <w:r w:rsidR="0078659B" w:rsidRPr="00E54204">
        <w:rPr>
          <w:rFonts w:cs="Times New Roman"/>
          <w:szCs w:val="20"/>
        </w:rPr>
        <w:t xml:space="preserve"> </w:t>
      </w:r>
      <w:r w:rsidR="00AA1903" w:rsidRPr="00E54204">
        <w:rPr>
          <w:rFonts w:cs="Times New Roman"/>
          <w:szCs w:val="20"/>
        </w:rPr>
        <w:t>the “daughter</w:t>
      </w:r>
      <w:r w:rsidR="00E50A7D" w:rsidRPr="00E54204">
        <w:rPr>
          <w:rFonts w:cs="Times New Roman"/>
          <w:szCs w:val="20"/>
        </w:rPr>
        <w:t xml:space="preserve"> of a voice” remains</w:t>
      </w:r>
      <w:r w:rsidR="0078659B" w:rsidRPr="00E54204">
        <w:rPr>
          <w:rFonts w:cs="Times New Roman"/>
          <w:szCs w:val="20"/>
        </w:rPr>
        <w:t xml:space="preserve"> anonymous</w:t>
      </w:r>
      <w:r w:rsidR="00E50A7D" w:rsidRPr="00E54204">
        <w:rPr>
          <w:rFonts w:cs="Times New Roman"/>
          <w:szCs w:val="20"/>
        </w:rPr>
        <w:t xml:space="preserve"> in rabbinic literatur</w:t>
      </w:r>
      <w:r w:rsidR="0015204B" w:rsidRPr="00E54204">
        <w:rPr>
          <w:rFonts w:cs="Times New Roman"/>
          <w:szCs w:val="20"/>
        </w:rPr>
        <w:t>e, except in this one occasion where it is identified with the angel Gabriel</w:t>
      </w:r>
      <w:r w:rsidR="00E50A7D" w:rsidRPr="00E54204">
        <w:rPr>
          <w:rFonts w:cs="Times New Roman"/>
          <w:szCs w:val="20"/>
        </w:rPr>
        <w:t>.</w:t>
      </w:r>
      <w:r w:rsidR="00E50A7D" w:rsidRPr="00E54204">
        <w:rPr>
          <w:rStyle w:val="FootnoteReference"/>
          <w:rFonts w:cs="Times New Roman"/>
          <w:szCs w:val="20"/>
        </w:rPr>
        <w:footnoteReference w:id="129"/>
      </w:r>
    </w:p>
    <w:p w14:paraId="358E1221" w14:textId="77777777" w:rsidR="00AA1903" w:rsidRPr="00E54204" w:rsidRDefault="00AA1903" w:rsidP="004D6D82">
      <w:pPr>
        <w:spacing w:after="160"/>
        <w:ind w:firstLine="720"/>
        <w:rPr>
          <w:rFonts w:cs="Times New Roman"/>
          <w:szCs w:val="20"/>
        </w:rPr>
      </w:pPr>
      <w:r w:rsidRPr="00E54204">
        <w:rPr>
          <w:rFonts w:cs="Times New Roman"/>
          <w:szCs w:val="20"/>
        </w:rPr>
        <w:t>We notice that vario</w:t>
      </w:r>
      <w:r w:rsidR="00363960" w:rsidRPr="00E54204">
        <w:rPr>
          <w:rFonts w:cs="Times New Roman"/>
          <w:szCs w:val="20"/>
        </w:rPr>
        <w:t>us functions have been identified</w:t>
      </w:r>
      <w:r w:rsidR="0011609D" w:rsidRPr="00E54204">
        <w:rPr>
          <w:rFonts w:cs="Times New Roman"/>
          <w:szCs w:val="20"/>
        </w:rPr>
        <w:t xml:space="preserve">.  Alexander Guttmann proposed its participation in </w:t>
      </w:r>
      <w:r w:rsidR="004B512C" w:rsidRPr="00E54204">
        <w:rPr>
          <w:rFonts w:cs="Times New Roman"/>
          <w:i/>
          <w:szCs w:val="20"/>
        </w:rPr>
        <w:t>Halac</w:t>
      </w:r>
      <w:r w:rsidR="0011609D" w:rsidRPr="00E54204">
        <w:rPr>
          <w:rFonts w:cs="Times New Roman"/>
          <w:i/>
          <w:szCs w:val="20"/>
        </w:rPr>
        <w:t xml:space="preserve">hic </w:t>
      </w:r>
      <w:r w:rsidR="00AD3795" w:rsidRPr="00E54204">
        <w:rPr>
          <w:rFonts w:cs="Times New Roman"/>
          <w:szCs w:val="20"/>
        </w:rPr>
        <w:t>matters, while</w:t>
      </w:r>
      <w:r w:rsidR="00712402" w:rsidRPr="00E54204">
        <w:rPr>
          <w:rFonts w:cs="Times New Roman"/>
          <w:szCs w:val="20"/>
        </w:rPr>
        <w:t xml:space="preserve"> also reading</w:t>
      </w:r>
      <w:r w:rsidR="00AD3795" w:rsidRPr="00E54204">
        <w:rPr>
          <w:rFonts w:cs="Times New Roman"/>
          <w:szCs w:val="20"/>
        </w:rPr>
        <w:t xml:space="preserve"> polemical motives</w:t>
      </w:r>
      <w:r w:rsidR="00712402" w:rsidRPr="00E54204">
        <w:rPr>
          <w:rFonts w:cs="Times New Roman"/>
          <w:szCs w:val="20"/>
        </w:rPr>
        <w:t xml:space="preserve"> on the rabbis’ behalf</w:t>
      </w:r>
      <w:r w:rsidR="00AD3795" w:rsidRPr="00E54204">
        <w:rPr>
          <w:rFonts w:cs="Times New Roman"/>
          <w:szCs w:val="20"/>
        </w:rPr>
        <w:t>.</w:t>
      </w:r>
      <w:r w:rsidR="0011609D" w:rsidRPr="00E54204">
        <w:rPr>
          <w:rFonts w:cs="Times New Roman"/>
          <w:szCs w:val="20"/>
        </w:rPr>
        <w:t xml:space="preserve">  Gottstein suggested two functions: revelation of statuses in the world </w:t>
      </w:r>
      <w:r w:rsidR="0011609D" w:rsidRPr="00E54204">
        <w:rPr>
          <w:rFonts w:cs="Times New Roman"/>
          <w:szCs w:val="20"/>
        </w:rPr>
        <w:lastRenderedPageBreak/>
        <w:t>to come and calling to holy activities, such as Torah study</w:t>
      </w:r>
      <w:r w:rsidR="00841287" w:rsidRPr="00E54204">
        <w:rPr>
          <w:rFonts w:cs="Times New Roman"/>
          <w:szCs w:val="20"/>
        </w:rPr>
        <w:t xml:space="preserve">.  </w:t>
      </w:r>
      <w:r w:rsidR="00A835BF" w:rsidRPr="00E54204">
        <w:rPr>
          <w:rFonts w:cs="Times New Roman"/>
          <w:szCs w:val="20"/>
        </w:rPr>
        <w:t>And Lindbeck proposed that it served the twofold function of a transmitter of God’</w:t>
      </w:r>
      <w:r w:rsidR="00363960" w:rsidRPr="00E54204">
        <w:rPr>
          <w:rFonts w:cs="Times New Roman"/>
          <w:szCs w:val="20"/>
        </w:rPr>
        <w:t>s voice and a type of oracle</w:t>
      </w:r>
      <w:r w:rsidR="00A835BF" w:rsidRPr="00E54204">
        <w:rPr>
          <w:rFonts w:cs="Times New Roman"/>
          <w:szCs w:val="20"/>
        </w:rPr>
        <w:t xml:space="preserve">.  </w:t>
      </w:r>
      <w:r w:rsidRPr="00E54204">
        <w:rPr>
          <w:rFonts w:cs="Times New Roman"/>
          <w:szCs w:val="20"/>
        </w:rPr>
        <w:t xml:space="preserve">Even though the </w:t>
      </w:r>
      <w:r w:rsidRPr="00E54204">
        <w:rPr>
          <w:rFonts w:cs="Times New Roman"/>
          <w:i/>
          <w:szCs w:val="20"/>
        </w:rPr>
        <w:t>bat kol</w:t>
      </w:r>
      <w:r w:rsidR="00A835BF" w:rsidRPr="00E54204">
        <w:rPr>
          <w:rFonts w:cs="Times New Roman"/>
          <w:szCs w:val="20"/>
        </w:rPr>
        <w:t xml:space="preserve"> is easily identified in rabbinic literature</w:t>
      </w:r>
      <w:r w:rsidR="00767FD7" w:rsidRPr="00E54204">
        <w:rPr>
          <w:rFonts w:cs="Times New Roman"/>
          <w:szCs w:val="20"/>
        </w:rPr>
        <w:t>, its exact purpose is not explicit</w:t>
      </w:r>
      <w:r w:rsidR="00E50A7D" w:rsidRPr="00E54204">
        <w:rPr>
          <w:rFonts w:cs="Times New Roman"/>
          <w:szCs w:val="20"/>
        </w:rPr>
        <w:t xml:space="preserve"> and perhaps was not so to begin with.</w:t>
      </w:r>
      <w:r w:rsidR="00712402" w:rsidRPr="00E54204">
        <w:rPr>
          <w:rFonts w:cs="Times New Roman"/>
          <w:szCs w:val="20"/>
        </w:rPr>
        <w:t xml:space="preserve">  It is reasonable</w:t>
      </w:r>
      <w:r w:rsidR="00A835BF" w:rsidRPr="00E54204">
        <w:rPr>
          <w:rFonts w:cs="Times New Roman"/>
          <w:szCs w:val="20"/>
        </w:rPr>
        <w:t xml:space="preserve"> to deduce that it had various function</w:t>
      </w:r>
      <w:r w:rsidR="00363960" w:rsidRPr="00E54204">
        <w:rPr>
          <w:rFonts w:cs="Times New Roman"/>
          <w:szCs w:val="20"/>
        </w:rPr>
        <w:t xml:space="preserve">s as demonstrated </w:t>
      </w:r>
      <w:r w:rsidR="00E50A7D" w:rsidRPr="00E54204">
        <w:rPr>
          <w:rFonts w:cs="Times New Roman"/>
          <w:szCs w:val="20"/>
        </w:rPr>
        <w:t>by these</w:t>
      </w:r>
      <w:r w:rsidR="00712402" w:rsidRPr="00E54204">
        <w:rPr>
          <w:rFonts w:cs="Times New Roman"/>
          <w:szCs w:val="20"/>
        </w:rPr>
        <w:t xml:space="preserve"> scholars.  In fact, my own categories </w:t>
      </w:r>
      <w:r w:rsidR="00363960" w:rsidRPr="00E54204">
        <w:rPr>
          <w:rFonts w:cs="Times New Roman"/>
          <w:szCs w:val="20"/>
        </w:rPr>
        <w:t xml:space="preserve">will also </w:t>
      </w:r>
      <w:r w:rsidR="00712402" w:rsidRPr="00E54204">
        <w:rPr>
          <w:rFonts w:cs="Times New Roman"/>
          <w:szCs w:val="20"/>
        </w:rPr>
        <w:t>suggest that it wa</w:t>
      </w:r>
      <w:r w:rsidR="00E50A7D" w:rsidRPr="00E54204">
        <w:rPr>
          <w:rFonts w:cs="Times New Roman"/>
          <w:szCs w:val="20"/>
        </w:rPr>
        <w:t>s multi</w:t>
      </w:r>
      <w:r w:rsidR="00363960" w:rsidRPr="00E54204">
        <w:rPr>
          <w:rFonts w:cs="Times New Roman"/>
          <w:szCs w:val="20"/>
        </w:rPr>
        <w:t xml:space="preserve">faceted.  Moreover, I will seek to synthesize my own categories in an effort to discern how they relate and what they reveal about the </w:t>
      </w:r>
      <w:r w:rsidR="00363960" w:rsidRPr="00E54204">
        <w:rPr>
          <w:rFonts w:cs="Times New Roman"/>
          <w:i/>
          <w:szCs w:val="20"/>
        </w:rPr>
        <w:t>bat kol</w:t>
      </w:r>
      <w:r w:rsidR="00363960" w:rsidRPr="00E54204">
        <w:rPr>
          <w:rFonts w:cs="Times New Roman"/>
          <w:szCs w:val="20"/>
        </w:rPr>
        <w:t>’s</w:t>
      </w:r>
      <w:r w:rsidR="00363960" w:rsidRPr="00E54204">
        <w:rPr>
          <w:rFonts w:cs="Times New Roman"/>
          <w:i/>
          <w:szCs w:val="20"/>
        </w:rPr>
        <w:t xml:space="preserve"> </w:t>
      </w:r>
      <w:r w:rsidR="00363960" w:rsidRPr="00E54204">
        <w:rPr>
          <w:rFonts w:cs="Times New Roman"/>
          <w:szCs w:val="20"/>
        </w:rPr>
        <w:t>function.</w:t>
      </w:r>
    </w:p>
    <w:p w14:paraId="265A5E39" w14:textId="77777777" w:rsidR="00272D36" w:rsidRPr="00E54204" w:rsidRDefault="00272D36" w:rsidP="00801AC2">
      <w:pPr>
        <w:spacing w:after="160"/>
        <w:ind w:firstLine="720"/>
        <w:rPr>
          <w:rFonts w:cs="Times New Roman"/>
          <w:szCs w:val="20"/>
        </w:rPr>
      </w:pPr>
      <w:r w:rsidRPr="00E54204">
        <w:rPr>
          <w:rFonts w:cs="Times New Roman"/>
          <w:szCs w:val="20"/>
        </w:rPr>
        <w:t xml:space="preserve">Important </w:t>
      </w:r>
      <w:r w:rsidR="00AA1903" w:rsidRPr="00E54204">
        <w:rPr>
          <w:rFonts w:cs="Times New Roman"/>
          <w:szCs w:val="20"/>
        </w:rPr>
        <w:t>functions have already b</w:t>
      </w:r>
      <w:r w:rsidR="00712402" w:rsidRPr="00E54204">
        <w:rPr>
          <w:rFonts w:cs="Times New Roman"/>
          <w:szCs w:val="20"/>
        </w:rPr>
        <w:t>een noted by scholars and</w:t>
      </w:r>
      <w:r w:rsidRPr="00E54204">
        <w:rPr>
          <w:rFonts w:cs="Times New Roman"/>
          <w:szCs w:val="20"/>
        </w:rPr>
        <w:t xml:space="preserve"> this thesis</w:t>
      </w:r>
      <w:r w:rsidR="00AA1903" w:rsidRPr="00E54204">
        <w:rPr>
          <w:rFonts w:cs="Times New Roman"/>
          <w:szCs w:val="20"/>
        </w:rPr>
        <w:t xml:space="preserve"> is a</w:t>
      </w:r>
      <w:r w:rsidR="00384115" w:rsidRPr="00E54204">
        <w:rPr>
          <w:rFonts w:cs="Times New Roman"/>
          <w:szCs w:val="20"/>
        </w:rPr>
        <w:t xml:space="preserve"> </w:t>
      </w:r>
      <w:r w:rsidRPr="00E54204">
        <w:rPr>
          <w:rFonts w:cs="Times New Roman"/>
          <w:szCs w:val="20"/>
        </w:rPr>
        <w:t>continuation of such efforts</w:t>
      </w:r>
      <w:r w:rsidR="00712402" w:rsidRPr="00E54204">
        <w:rPr>
          <w:rFonts w:cs="Times New Roman"/>
          <w:szCs w:val="20"/>
        </w:rPr>
        <w:t>.  Perhaps</w:t>
      </w:r>
      <w:r w:rsidR="00F05B8D" w:rsidRPr="00E54204">
        <w:rPr>
          <w:rFonts w:cs="Times New Roman"/>
          <w:szCs w:val="20"/>
        </w:rPr>
        <w:t xml:space="preserve"> my findings will not be radically</w:t>
      </w:r>
      <w:r w:rsidR="00712402" w:rsidRPr="00E54204">
        <w:rPr>
          <w:rFonts w:cs="Times New Roman"/>
          <w:szCs w:val="20"/>
        </w:rPr>
        <w:t xml:space="preserve"> different from </w:t>
      </w:r>
      <w:r w:rsidR="004775FC" w:rsidRPr="00E54204">
        <w:rPr>
          <w:rFonts w:cs="Times New Roman"/>
          <w:szCs w:val="20"/>
        </w:rPr>
        <w:t>previous research though I am employing a more comprehensive overview than has been realized thus far by reviewing</w:t>
      </w:r>
      <w:r w:rsidR="00E50A7D" w:rsidRPr="00E54204">
        <w:rPr>
          <w:rFonts w:cs="Times New Roman"/>
          <w:szCs w:val="20"/>
        </w:rPr>
        <w:t xml:space="preserve"> each </w:t>
      </w:r>
      <w:r w:rsidR="004775FC" w:rsidRPr="00E54204">
        <w:rPr>
          <w:rFonts w:cs="Times New Roman"/>
          <w:szCs w:val="20"/>
        </w:rPr>
        <w:t xml:space="preserve">instance in </w:t>
      </w:r>
      <w:r w:rsidR="003E5B96" w:rsidRPr="00E54204">
        <w:rPr>
          <w:rFonts w:cs="Times New Roman"/>
          <w:szCs w:val="20"/>
        </w:rPr>
        <w:t>the Babylonian Talmud</w:t>
      </w:r>
      <w:r w:rsidR="004775FC" w:rsidRPr="00E54204">
        <w:rPr>
          <w:rFonts w:cs="Times New Roman"/>
          <w:szCs w:val="20"/>
        </w:rPr>
        <w:t xml:space="preserve"> where the </w:t>
      </w:r>
      <w:r w:rsidR="004775FC" w:rsidRPr="00E54204">
        <w:rPr>
          <w:rFonts w:cs="Times New Roman"/>
          <w:i/>
          <w:szCs w:val="20"/>
        </w:rPr>
        <w:t xml:space="preserve">bat kol </w:t>
      </w:r>
      <w:r w:rsidR="004775FC" w:rsidRPr="00E54204">
        <w:rPr>
          <w:rFonts w:cs="Times New Roman"/>
          <w:szCs w:val="20"/>
        </w:rPr>
        <w:t>appears, and by expositing ten stories I consider representative of larger and important categories</w:t>
      </w:r>
      <w:r w:rsidR="003E5B96" w:rsidRPr="00E54204">
        <w:rPr>
          <w:rFonts w:cs="Times New Roman"/>
          <w:szCs w:val="20"/>
        </w:rPr>
        <w:t>.  I</w:t>
      </w:r>
      <w:r w:rsidR="00A835BF" w:rsidRPr="00E54204">
        <w:rPr>
          <w:rFonts w:cs="Times New Roman"/>
          <w:szCs w:val="20"/>
        </w:rPr>
        <w:t>n terms of approach, I employ the</w:t>
      </w:r>
      <w:r w:rsidRPr="00E54204">
        <w:rPr>
          <w:rFonts w:cs="Times New Roman"/>
          <w:szCs w:val="20"/>
        </w:rPr>
        <w:t xml:space="preserve"> same method</w:t>
      </w:r>
      <w:r w:rsidR="00A835BF" w:rsidRPr="00E54204">
        <w:rPr>
          <w:rFonts w:cs="Times New Roman"/>
          <w:szCs w:val="20"/>
        </w:rPr>
        <w:t xml:space="preserve"> put forth </w:t>
      </w:r>
      <w:r w:rsidR="003E5B96" w:rsidRPr="00E54204">
        <w:rPr>
          <w:rFonts w:cs="Times New Roman"/>
          <w:szCs w:val="20"/>
        </w:rPr>
        <w:t xml:space="preserve">primarily </w:t>
      </w:r>
      <w:r w:rsidR="00A835BF" w:rsidRPr="00E54204">
        <w:rPr>
          <w:rFonts w:cs="Times New Roman"/>
          <w:szCs w:val="20"/>
        </w:rPr>
        <w:t>by S. Louis</w:t>
      </w:r>
      <w:r w:rsidR="00384115" w:rsidRPr="00E54204">
        <w:rPr>
          <w:rFonts w:cs="Times New Roman"/>
          <w:szCs w:val="20"/>
        </w:rPr>
        <w:t>.</w:t>
      </w:r>
      <w:r w:rsidR="00E50A7D" w:rsidRPr="00E54204">
        <w:rPr>
          <w:rFonts w:cs="Times New Roman"/>
          <w:szCs w:val="20"/>
        </w:rPr>
        <w:t xml:space="preserve">  </w:t>
      </w:r>
      <w:r w:rsidR="003E5B96" w:rsidRPr="00E54204">
        <w:rPr>
          <w:rFonts w:cs="Times New Roman"/>
          <w:szCs w:val="20"/>
        </w:rPr>
        <w:t xml:space="preserve">Louis </w:t>
      </w:r>
      <w:r w:rsidRPr="00E54204">
        <w:rPr>
          <w:rFonts w:cs="Times New Roman"/>
          <w:szCs w:val="20"/>
        </w:rPr>
        <w:t>carried out a brief overview of numerous stories in orde</w:t>
      </w:r>
      <w:r w:rsidR="00C8400C" w:rsidRPr="00E54204">
        <w:rPr>
          <w:rFonts w:cs="Times New Roman"/>
          <w:szCs w:val="20"/>
        </w:rPr>
        <w:t>r to elucidate</w:t>
      </w:r>
      <w:r w:rsidR="003E5B96" w:rsidRPr="00E54204">
        <w:rPr>
          <w:rFonts w:cs="Times New Roman"/>
          <w:szCs w:val="20"/>
        </w:rPr>
        <w:t xml:space="preserve"> his proposed categories</w:t>
      </w:r>
      <w:r w:rsidRPr="00E54204">
        <w:rPr>
          <w:rFonts w:cs="Times New Roman"/>
          <w:szCs w:val="20"/>
        </w:rPr>
        <w:t>; it has been about one-hundred and twenty years</w:t>
      </w:r>
      <w:r w:rsidR="003E5B96" w:rsidRPr="00E54204">
        <w:rPr>
          <w:rFonts w:cs="Times New Roman"/>
          <w:szCs w:val="20"/>
        </w:rPr>
        <w:t xml:space="preserve"> since he published his work</w:t>
      </w:r>
      <w:r w:rsidRPr="00E54204">
        <w:rPr>
          <w:rFonts w:cs="Times New Roman"/>
          <w:szCs w:val="20"/>
        </w:rPr>
        <w:t>.</w:t>
      </w:r>
      <w:r w:rsidR="00E50A7D" w:rsidRPr="00E54204">
        <w:rPr>
          <w:rFonts w:cs="Times New Roman"/>
          <w:szCs w:val="20"/>
        </w:rPr>
        <w:t xml:space="preserve">  I seek to</w:t>
      </w:r>
      <w:r w:rsidR="004775FC" w:rsidRPr="00E54204">
        <w:rPr>
          <w:rFonts w:cs="Times New Roman"/>
          <w:szCs w:val="20"/>
        </w:rPr>
        <w:t xml:space="preserve"> imitate</w:t>
      </w:r>
      <w:r w:rsidR="00E50A7D" w:rsidRPr="00E54204">
        <w:rPr>
          <w:rFonts w:cs="Times New Roman"/>
          <w:szCs w:val="20"/>
        </w:rPr>
        <w:t xml:space="preserve"> his work</w:t>
      </w:r>
      <w:r w:rsidR="003E5B96" w:rsidRPr="00E54204">
        <w:rPr>
          <w:rFonts w:cs="Times New Roman"/>
          <w:szCs w:val="20"/>
        </w:rPr>
        <w:t>,</w:t>
      </w:r>
      <w:r w:rsidR="00E50A7D" w:rsidRPr="00E54204">
        <w:rPr>
          <w:rFonts w:cs="Times New Roman"/>
          <w:szCs w:val="20"/>
        </w:rPr>
        <w:t xml:space="preserve"> </w:t>
      </w:r>
      <w:r w:rsidR="003E5B96" w:rsidRPr="00E54204">
        <w:rPr>
          <w:rFonts w:cs="Times New Roman"/>
          <w:szCs w:val="20"/>
        </w:rPr>
        <w:t>by</w:t>
      </w:r>
      <w:r w:rsidR="00E50A7D" w:rsidRPr="00E54204">
        <w:rPr>
          <w:rFonts w:cs="Times New Roman"/>
          <w:szCs w:val="20"/>
        </w:rPr>
        <w:t xml:space="preserve"> also</w:t>
      </w:r>
      <w:r w:rsidRPr="00E54204">
        <w:rPr>
          <w:rFonts w:cs="Times New Roman"/>
          <w:szCs w:val="20"/>
        </w:rPr>
        <w:t xml:space="preserve"> exegeting about ten different storie</w:t>
      </w:r>
      <w:r w:rsidR="003E5B96" w:rsidRPr="00E54204">
        <w:rPr>
          <w:rFonts w:cs="Times New Roman"/>
          <w:szCs w:val="20"/>
        </w:rPr>
        <w:t>s each representing a distinct</w:t>
      </w:r>
      <w:r w:rsidRPr="00E54204">
        <w:rPr>
          <w:rFonts w:cs="Times New Roman"/>
          <w:szCs w:val="20"/>
        </w:rPr>
        <w:t xml:space="preserve"> catego</w:t>
      </w:r>
      <w:r w:rsidR="003E5B96" w:rsidRPr="00E54204">
        <w:rPr>
          <w:rFonts w:cs="Times New Roman"/>
          <w:szCs w:val="20"/>
        </w:rPr>
        <w:t>ry</w:t>
      </w:r>
      <w:r w:rsidRPr="00E54204">
        <w:rPr>
          <w:rFonts w:cs="Times New Roman"/>
          <w:szCs w:val="20"/>
        </w:rPr>
        <w:t>.</w:t>
      </w:r>
      <w:r w:rsidR="00384115" w:rsidRPr="00E54204">
        <w:rPr>
          <w:rFonts w:cs="Times New Roman"/>
          <w:szCs w:val="20"/>
        </w:rPr>
        <w:t xml:space="preserve">  W</w:t>
      </w:r>
      <w:r w:rsidR="00A835BF" w:rsidRPr="00E54204">
        <w:rPr>
          <w:rFonts w:cs="Times New Roman"/>
          <w:szCs w:val="20"/>
        </w:rPr>
        <w:t>hile</w:t>
      </w:r>
      <w:r w:rsidRPr="00E54204">
        <w:rPr>
          <w:rFonts w:cs="Times New Roman"/>
          <w:szCs w:val="20"/>
        </w:rPr>
        <w:t xml:space="preserve"> some </w:t>
      </w:r>
      <w:r w:rsidR="002B3DC4" w:rsidRPr="00E54204">
        <w:rPr>
          <w:rFonts w:cs="Times New Roman"/>
          <w:szCs w:val="20"/>
        </w:rPr>
        <w:t>categories</w:t>
      </w:r>
      <w:r w:rsidR="003E5B96" w:rsidRPr="00E54204">
        <w:rPr>
          <w:rFonts w:cs="Times New Roman"/>
          <w:szCs w:val="20"/>
        </w:rPr>
        <w:t xml:space="preserve"> already identified</w:t>
      </w:r>
      <w:r w:rsidR="002B3DC4" w:rsidRPr="00E54204">
        <w:rPr>
          <w:rFonts w:cs="Times New Roman"/>
          <w:szCs w:val="20"/>
        </w:rPr>
        <w:t xml:space="preserve"> </w:t>
      </w:r>
      <w:r w:rsidR="003E5B96" w:rsidRPr="00E54204">
        <w:rPr>
          <w:rFonts w:cs="Times New Roman"/>
          <w:szCs w:val="20"/>
        </w:rPr>
        <w:t>will be appropriated</w:t>
      </w:r>
      <w:r w:rsidR="00384115" w:rsidRPr="00E54204">
        <w:rPr>
          <w:rFonts w:cs="Times New Roman"/>
          <w:szCs w:val="20"/>
        </w:rPr>
        <w:t xml:space="preserve"> in this thesis (e.g. statuses in the world to come, and </w:t>
      </w:r>
      <w:r w:rsidR="00EF69C7" w:rsidRPr="00E54204">
        <w:rPr>
          <w:rFonts w:cs="Times New Roman"/>
          <w:i/>
          <w:szCs w:val="20"/>
        </w:rPr>
        <w:t>Halac</w:t>
      </w:r>
      <w:r w:rsidR="00384115" w:rsidRPr="00E54204">
        <w:rPr>
          <w:rFonts w:cs="Times New Roman"/>
          <w:i/>
          <w:szCs w:val="20"/>
        </w:rPr>
        <w:t>ha</w:t>
      </w:r>
      <w:r w:rsidR="00384115" w:rsidRPr="00E54204">
        <w:rPr>
          <w:rFonts w:cs="Times New Roman"/>
          <w:szCs w:val="20"/>
        </w:rPr>
        <w:t xml:space="preserve">), </w:t>
      </w:r>
      <w:r w:rsidR="00A835BF" w:rsidRPr="00E54204">
        <w:rPr>
          <w:rFonts w:cs="Times New Roman"/>
          <w:szCs w:val="20"/>
        </w:rPr>
        <w:t>I have</w:t>
      </w:r>
      <w:r w:rsidR="003E5B96" w:rsidRPr="00E54204">
        <w:rPr>
          <w:rFonts w:cs="Times New Roman"/>
          <w:szCs w:val="20"/>
        </w:rPr>
        <w:t xml:space="preserve"> omitted others (e.g.,</w:t>
      </w:r>
      <w:r w:rsidR="00A835BF" w:rsidRPr="00E54204">
        <w:rPr>
          <w:rFonts w:cs="Times New Roman"/>
          <w:szCs w:val="20"/>
        </w:rPr>
        <w:t xml:space="preserve"> maxims and </w:t>
      </w:r>
      <w:r w:rsidR="00384115" w:rsidRPr="00E54204">
        <w:rPr>
          <w:rFonts w:cs="Times New Roman"/>
          <w:szCs w:val="20"/>
        </w:rPr>
        <w:t>interactions</w:t>
      </w:r>
      <w:r w:rsidR="00A835BF" w:rsidRPr="00E54204">
        <w:rPr>
          <w:rFonts w:cs="Times New Roman"/>
          <w:szCs w:val="20"/>
        </w:rPr>
        <w:t xml:space="preserve"> </w:t>
      </w:r>
      <w:r w:rsidR="00384115" w:rsidRPr="00E54204">
        <w:rPr>
          <w:rFonts w:cs="Times New Roman"/>
          <w:szCs w:val="20"/>
        </w:rPr>
        <w:t>with Biblical characters</w:t>
      </w:r>
      <w:r w:rsidR="003E5B96" w:rsidRPr="00E54204">
        <w:rPr>
          <w:rFonts w:cs="Times New Roman"/>
          <w:szCs w:val="20"/>
        </w:rPr>
        <w:t>)</w:t>
      </w:r>
      <w:r w:rsidR="00F42E4C" w:rsidRPr="00E54204">
        <w:rPr>
          <w:rFonts w:cs="Times New Roman"/>
          <w:szCs w:val="20"/>
        </w:rPr>
        <w:t xml:space="preserve"> since I do not discern a strong enough emphasis of such themes </w:t>
      </w:r>
      <w:r w:rsidR="009A0A9F" w:rsidRPr="00E54204">
        <w:rPr>
          <w:rFonts w:cs="Times New Roman"/>
          <w:szCs w:val="20"/>
        </w:rPr>
        <w:t>so as to label it as</w:t>
      </w:r>
      <w:r w:rsidR="00F41416" w:rsidRPr="00E54204">
        <w:rPr>
          <w:rFonts w:cs="Times New Roman"/>
          <w:szCs w:val="20"/>
        </w:rPr>
        <w:t xml:space="preserve"> its own</w:t>
      </w:r>
      <w:r w:rsidR="009A0A9F" w:rsidRPr="00E54204">
        <w:rPr>
          <w:rFonts w:cs="Times New Roman"/>
          <w:szCs w:val="20"/>
        </w:rPr>
        <w:t xml:space="preserve"> category</w:t>
      </w:r>
      <w:r w:rsidR="00F42E4C" w:rsidRPr="00E54204">
        <w:rPr>
          <w:rFonts w:cs="Times New Roman"/>
          <w:szCs w:val="20"/>
        </w:rPr>
        <w:t>.</w:t>
      </w:r>
      <w:r w:rsidRPr="00E54204">
        <w:rPr>
          <w:rFonts w:cs="Times New Roman"/>
          <w:szCs w:val="20"/>
        </w:rPr>
        <w:t xml:space="preserve">  My selection of four categories along with a</w:t>
      </w:r>
      <w:r w:rsidR="00384115" w:rsidRPr="00E54204">
        <w:rPr>
          <w:rFonts w:cs="Times New Roman"/>
          <w:szCs w:val="20"/>
        </w:rPr>
        <w:t xml:space="preserve"> miscellaneous</w:t>
      </w:r>
      <w:r w:rsidR="002B3DC4" w:rsidRPr="00E54204">
        <w:rPr>
          <w:rFonts w:cs="Times New Roman"/>
          <w:szCs w:val="20"/>
        </w:rPr>
        <w:t xml:space="preserve"> one</w:t>
      </w:r>
      <w:r w:rsidRPr="00E54204">
        <w:rPr>
          <w:rFonts w:cs="Times New Roman"/>
          <w:szCs w:val="20"/>
        </w:rPr>
        <w:t>, should</w:t>
      </w:r>
      <w:r w:rsidR="00384115" w:rsidRPr="00E54204">
        <w:rPr>
          <w:rFonts w:cs="Times New Roman"/>
          <w:szCs w:val="20"/>
        </w:rPr>
        <w:t xml:space="preserve"> demonstr</w:t>
      </w:r>
      <w:r w:rsidR="002B3DC4" w:rsidRPr="00E54204">
        <w:rPr>
          <w:rFonts w:cs="Times New Roman"/>
          <w:szCs w:val="20"/>
        </w:rPr>
        <w:t>ate that</w:t>
      </w:r>
      <w:r w:rsidR="00384115" w:rsidRPr="00E54204">
        <w:rPr>
          <w:rFonts w:cs="Times New Roman"/>
          <w:szCs w:val="20"/>
        </w:rPr>
        <w:t xml:space="preserve"> these labels </w:t>
      </w:r>
      <w:r w:rsidR="002B3DC4" w:rsidRPr="00E54204">
        <w:rPr>
          <w:rFonts w:cs="Times New Roman"/>
          <w:szCs w:val="20"/>
        </w:rPr>
        <w:t>are not</w:t>
      </w:r>
      <w:r w:rsidRPr="00E54204">
        <w:rPr>
          <w:rFonts w:cs="Times New Roman"/>
          <w:szCs w:val="20"/>
        </w:rPr>
        <w:t xml:space="preserve"> </w:t>
      </w:r>
      <w:r w:rsidR="003E5B96" w:rsidRPr="00E54204">
        <w:rPr>
          <w:rFonts w:cs="Times New Roman"/>
          <w:szCs w:val="20"/>
        </w:rPr>
        <w:t>final, but are the ones I considered most useful for grouping different stories.  T</w:t>
      </w:r>
      <w:r w:rsidR="002B3DC4" w:rsidRPr="00E54204">
        <w:rPr>
          <w:rFonts w:cs="Times New Roman"/>
          <w:szCs w:val="20"/>
        </w:rPr>
        <w:t>he</w:t>
      </w:r>
      <w:r w:rsidR="003E5B96" w:rsidRPr="00E54204">
        <w:rPr>
          <w:rFonts w:cs="Times New Roman"/>
          <w:szCs w:val="20"/>
        </w:rPr>
        <w:t>re remains the</w:t>
      </w:r>
      <w:r w:rsidR="002B3DC4" w:rsidRPr="00E54204">
        <w:rPr>
          <w:rFonts w:cs="Times New Roman"/>
          <w:szCs w:val="20"/>
        </w:rPr>
        <w:t xml:space="preserve"> possibility of creating new labels or reapplying old ones not </w:t>
      </w:r>
      <w:r w:rsidR="002B3DC4" w:rsidRPr="00E54204">
        <w:rPr>
          <w:rFonts w:cs="Times New Roman"/>
          <w:szCs w:val="20"/>
        </w:rPr>
        <w:lastRenderedPageBreak/>
        <w:t>addressed here.</w:t>
      </w:r>
      <w:r w:rsidR="00EB6C54" w:rsidRPr="00E54204">
        <w:rPr>
          <w:rFonts w:cs="Times New Roman"/>
          <w:szCs w:val="20"/>
        </w:rPr>
        <w:t xml:space="preserve">  By seeking to elucidate the function of the </w:t>
      </w:r>
      <w:r w:rsidR="00EB6C54" w:rsidRPr="00E54204">
        <w:rPr>
          <w:rFonts w:cs="Times New Roman"/>
          <w:i/>
          <w:szCs w:val="20"/>
        </w:rPr>
        <w:t>bat kol</w:t>
      </w:r>
      <w:r w:rsidR="00EB6C54" w:rsidRPr="00E54204">
        <w:rPr>
          <w:rFonts w:cs="Times New Roman"/>
          <w:szCs w:val="20"/>
        </w:rPr>
        <w:t xml:space="preserve"> I will present details concerning its literary use, in addition to social and historical aspects of such literature, so at to better unravel its function.   </w:t>
      </w:r>
      <w:r w:rsidR="00384115" w:rsidRPr="00E54204">
        <w:rPr>
          <w:rFonts w:cs="Times New Roman"/>
          <w:szCs w:val="20"/>
        </w:rPr>
        <w:t xml:space="preserve">  </w:t>
      </w:r>
    </w:p>
    <w:p w14:paraId="73DD6933" w14:textId="77777777" w:rsidR="00AA1903" w:rsidRPr="00E54204" w:rsidRDefault="00EB6C54" w:rsidP="0011609D">
      <w:pPr>
        <w:spacing w:after="160"/>
        <w:ind w:firstLine="720"/>
        <w:rPr>
          <w:rFonts w:cs="Times New Roman"/>
          <w:szCs w:val="20"/>
        </w:rPr>
      </w:pPr>
      <w:r w:rsidRPr="00E54204">
        <w:rPr>
          <w:rFonts w:cs="Times New Roman"/>
          <w:szCs w:val="20"/>
        </w:rPr>
        <w:t>Lastly, I</w:t>
      </w:r>
      <w:r w:rsidR="00384115" w:rsidRPr="00E54204">
        <w:rPr>
          <w:rFonts w:cs="Times New Roman"/>
          <w:szCs w:val="20"/>
        </w:rPr>
        <w:t xml:space="preserve"> echo Marmorstein’s</w:t>
      </w:r>
      <w:r w:rsidR="00E50A7D" w:rsidRPr="00E54204">
        <w:rPr>
          <w:rFonts w:cs="Times New Roman"/>
          <w:szCs w:val="20"/>
        </w:rPr>
        <w:t xml:space="preserve"> understanding which construed</w:t>
      </w:r>
      <w:r w:rsidR="00384115" w:rsidRPr="00E54204">
        <w:rPr>
          <w:rFonts w:cs="Times New Roman"/>
          <w:szCs w:val="20"/>
        </w:rPr>
        <w:t xml:space="preserve"> the </w:t>
      </w:r>
      <w:r w:rsidR="00384115" w:rsidRPr="00E54204">
        <w:rPr>
          <w:rFonts w:cs="Times New Roman"/>
          <w:i/>
          <w:szCs w:val="20"/>
        </w:rPr>
        <w:t>bat kol</w:t>
      </w:r>
      <w:r w:rsidR="00384115" w:rsidRPr="00E54204">
        <w:rPr>
          <w:rFonts w:cs="Times New Roman"/>
          <w:szCs w:val="20"/>
        </w:rPr>
        <w:t xml:space="preserve"> as an important part of </w:t>
      </w:r>
      <w:r w:rsidR="00384115" w:rsidRPr="00E54204">
        <w:rPr>
          <w:rFonts w:cs="Times New Roman"/>
          <w:i/>
          <w:szCs w:val="20"/>
        </w:rPr>
        <w:t>Haggadah</w:t>
      </w:r>
      <w:r w:rsidR="00384115" w:rsidRPr="00E54204">
        <w:rPr>
          <w:rFonts w:cs="Times New Roman"/>
          <w:szCs w:val="20"/>
        </w:rPr>
        <w:t xml:space="preserve"> (lore)</w:t>
      </w:r>
      <w:r w:rsidR="00E50A7D" w:rsidRPr="00E54204">
        <w:rPr>
          <w:rFonts w:cs="Times New Roman"/>
          <w:szCs w:val="20"/>
        </w:rPr>
        <w:t xml:space="preserve"> employed for didactic purposes.</w:t>
      </w:r>
      <w:r w:rsidR="00384115" w:rsidRPr="00E54204">
        <w:rPr>
          <w:rFonts w:cs="Times New Roman"/>
          <w:szCs w:val="20"/>
        </w:rPr>
        <w:t xml:space="preserve">  Essentially, the </w:t>
      </w:r>
      <w:r w:rsidR="00384115" w:rsidRPr="00E54204">
        <w:rPr>
          <w:rFonts w:cs="Times New Roman"/>
          <w:i/>
          <w:szCs w:val="20"/>
        </w:rPr>
        <w:t xml:space="preserve">bat kol </w:t>
      </w:r>
      <w:r w:rsidR="00384115" w:rsidRPr="00E54204">
        <w:rPr>
          <w:rFonts w:cs="Times New Roman"/>
          <w:szCs w:val="20"/>
        </w:rPr>
        <w:t xml:space="preserve">conveyed God’s immanence to the people.  </w:t>
      </w:r>
      <w:r w:rsidR="009F67B0" w:rsidRPr="00E54204">
        <w:rPr>
          <w:rFonts w:cs="Times New Roman"/>
          <w:szCs w:val="20"/>
        </w:rPr>
        <w:t xml:space="preserve">Moreover, </w:t>
      </w:r>
      <w:r w:rsidR="00384115" w:rsidRPr="00E54204">
        <w:rPr>
          <w:rFonts w:cs="Times New Roman"/>
          <w:szCs w:val="20"/>
        </w:rPr>
        <w:t xml:space="preserve">I </w:t>
      </w:r>
      <w:r w:rsidRPr="00E54204">
        <w:rPr>
          <w:rFonts w:cs="Times New Roman"/>
          <w:szCs w:val="20"/>
        </w:rPr>
        <w:t>will note how the</w:t>
      </w:r>
      <w:r w:rsidR="00AA1903" w:rsidRPr="00E54204">
        <w:rPr>
          <w:rFonts w:cs="Times New Roman"/>
          <w:szCs w:val="20"/>
        </w:rPr>
        <w:t xml:space="preserve"> </w:t>
      </w:r>
      <w:r w:rsidR="00AA1903" w:rsidRPr="00E54204">
        <w:rPr>
          <w:rFonts w:cs="Times New Roman"/>
          <w:i/>
          <w:szCs w:val="20"/>
        </w:rPr>
        <w:t>bat kol</w:t>
      </w:r>
      <w:r w:rsidR="00AA1903" w:rsidRPr="00E54204">
        <w:rPr>
          <w:rFonts w:cs="Times New Roman"/>
          <w:szCs w:val="20"/>
        </w:rPr>
        <w:t xml:space="preserve"> reflect</w:t>
      </w:r>
      <w:r w:rsidR="00384115" w:rsidRPr="00E54204">
        <w:rPr>
          <w:rFonts w:cs="Times New Roman"/>
          <w:szCs w:val="20"/>
        </w:rPr>
        <w:t>s</w:t>
      </w:r>
      <w:r w:rsidR="00AA1903" w:rsidRPr="00E54204">
        <w:rPr>
          <w:rFonts w:cs="Times New Roman"/>
          <w:szCs w:val="20"/>
        </w:rPr>
        <w:t xml:space="preserve"> rabbinic approaches to</w:t>
      </w:r>
      <w:r w:rsidR="00384115" w:rsidRPr="00E54204">
        <w:rPr>
          <w:rFonts w:cs="Times New Roman"/>
          <w:szCs w:val="20"/>
        </w:rPr>
        <w:t xml:space="preserve"> various contemporary issues, such as alleviating</w:t>
      </w:r>
      <w:r w:rsidR="00AA1903" w:rsidRPr="00E54204">
        <w:rPr>
          <w:rFonts w:cs="Times New Roman"/>
          <w:szCs w:val="20"/>
        </w:rPr>
        <w:t xml:space="preserve"> suffering and evil</w:t>
      </w:r>
      <w:r w:rsidR="006443A1" w:rsidRPr="00E54204">
        <w:rPr>
          <w:rFonts w:cs="Times New Roman"/>
          <w:szCs w:val="20"/>
        </w:rPr>
        <w:t xml:space="preserve"> and assuring God’s judgment over the people responsible for destroying the Temple</w:t>
      </w:r>
      <w:r w:rsidR="00AA1903" w:rsidRPr="00E54204">
        <w:rPr>
          <w:rFonts w:cs="Times New Roman"/>
          <w:szCs w:val="20"/>
        </w:rPr>
        <w:t xml:space="preserve">.  My approach will be comparative in nature, </w:t>
      </w:r>
      <w:r w:rsidR="00E50A7D" w:rsidRPr="00E54204">
        <w:rPr>
          <w:rFonts w:cs="Times New Roman"/>
          <w:szCs w:val="20"/>
        </w:rPr>
        <w:t xml:space="preserve">and </w:t>
      </w:r>
      <w:r w:rsidR="002B3DC4" w:rsidRPr="00E54204">
        <w:rPr>
          <w:rFonts w:cs="Times New Roman"/>
          <w:szCs w:val="20"/>
        </w:rPr>
        <w:t xml:space="preserve">in </w:t>
      </w:r>
      <w:r w:rsidR="00E50A7D" w:rsidRPr="00E54204">
        <w:rPr>
          <w:rFonts w:cs="Times New Roman"/>
          <w:szCs w:val="20"/>
        </w:rPr>
        <w:t>this way</w:t>
      </w:r>
      <w:r w:rsidR="002B3DC4" w:rsidRPr="00E54204">
        <w:rPr>
          <w:rFonts w:cs="Times New Roman"/>
          <w:szCs w:val="20"/>
        </w:rPr>
        <w:t xml:space="preserve"> draw</w:t>
      </w:r>
      <w:r w:rsidR="00E50A7D" w:rsidRPr="00E54204">
        <w:rPr>
          <w:rFonts w:cs="Times New Roman"/>
          <w:szCs w:val="20"/>
        </w:rPr>
        <w:t>s</w:t>
      </w:r>
      <w:r w:rsidR="002B3DC4" w:rsidRPr="00E54204">
        <w:rPr>
          <w:rFonts w:cs="Times New Roman"/>
          <w:szCs w:val="20"/>
        </w:rPr>
        <w:t xml:space="preserve"> from</w:t>
      </w:r>
      <w:r w:rsidR="009F67B0" w:rsidRPr="00E54204">
        <w:rPr>
          <w:rFonts w:cs="Times New Roman"/>
          <w:szCs w:val="20"/>
        </w:rPr>
        <w:t xml:space="preserve"> Otto Betz’ comparisons</w:t>
      </w:r>
      <w:r w:rsidR="002B3DC4" w:rsidRPr="00E54204">
        <w:rPr>
          <w:rFonts w:cs="Times New Roman"/>
          <w:szCs w:val="20"/>
        </w:rPr>
        <w:t xml:space="preserve"> with other literature</w:t>
      </w:r>
      <w:r w:rsidR="00F42E4C" w:rsidRPr="00E54204">
        <w:rPr>
          <w:rFonts w:cs="Times New Roman"/>
          <w:szCs w:val="20"/>
        </w:rPr>
        <w:t>s</w:t>
      </w:r>
      <w:r w:rsidR="002B3DC4" w:rsidRPr="00E54204">
        <w:rPr>
          <w:rFonts w:cs="Times New Roman"/>
          <w:szCs w:val="20"/>
        </w:rPr>
        <w:t>.  The following chapter is dedicated to exp</w:t>
      </w:r>
      <w:r w:rsidR="004C6002" w:rsidRPr="00E54204">
        <w:rPr>
          <w:rFonts w:cs="Times New Roman"/>
          <w:szCs w:val="20"/>
        </w:rPr>
        <w:t>loring parallels of the</w:t>
      </w:r>
      <w:r w:rsidR="002B3DC4" w:rsidRPr="00E54204">
        <w:rPr>
          <w:rFonts w:cs="Times New Roman"/>
          <w:szCs w:val="20"/>
        </w:rPr>
        <w:t xml:space="preserve"> </w:t>
      </w:r>
      <w:r w:rsidR="002B3DC4" w:rsidRPr="00E54204">
        <w:rPr>
          <w:rFonts w:cs="Times New Roman"/>
          <w:i/>
          <w:szCs w:val="20"/>
        </w:rPr>
        <w:t>bat kol</w:t>
      </w:r>
      <w:r w:rsidR="004C6002" w:rsidRPr="00E54204">
        <w:rPr>
          <w:rFonts w:cs="Times New Roman"/>
          <w:szCs w:val="20"/>
        </w:rPr>
        <w:t xml:space="preserve"> with </w:t>
      </w:r>
      <w:r w:rsidR="002B3DC4" w:rsidRPr="00E54204">
        <w:rPr>
          <w:rFonts w:cs="Times New Roman"/>
          <w:szCs w:val="20"/>
        </w:rPr>
        <w:t>Biblical and Ap</w:t>
      </w:r>
      <w:r w:rsidR="00E50A7D" w:rsidRPr="00E54204">
        <w:rPr>
          <w:rFonts w:cs="Times New Roman"/>
          <w:szCs w:val="20"/>
        </w:rPr>
        <w:t>ocalyptic literature</w:t>
      </w:r>
      <w:r w:rsidR="009F67B0" w:rsidRPr="00E54204">
        <w:rPr>
          <w:rFonts w:cs="Times New Roman"/>
          <w:szCs w:val="20"/>
        </w:rPr>
        <w:t>, primarily</w:t>
      </w:r>
      <w:r w:rsidR="00E50A7D" w:rsidRPr="00E54204">
        <w:rPr>
          <w:rFonts w:cs="Times New Roman"/>
          <w:szCs w:val="20"/>
        </w:rPr>
        <w:t xml:space="preserve">.  This is carried out by depicting </w:t>
      </w:r>
      <w:r w:rsidR="002B3DC4" w:rsidRPr="00E54204">
        <w:rPr>
          <w:rFonts w:cs="Times New Roman"/>
          <w:szCs w:val="20"/>
        </w:rPr>
        <w:t>parallels</w:t>
      </w:r>
      <w:r w:rsidR="00F42E4C" w:rsidRPr="00E54204">
        <w:rPr>
          <w:rFonts w:cs="Times New Roman"/>
          <w:szCs w:val="20"/>
        </w:rPr>
        <w:t xml:space="preserve"> such as</w:t>
      </w:r>
      <w:r w:rsidR="00E50A7D" w:rsidRPr="00E54204">
        <w:rPr>
          <w:rFonts w:cs="Times New Roman"/>
          <w:szCs w:val="20"/>
        </w:rPr>
        <w:t xml:space="preserve"> in language and themes</w:t>
      </w:r>
      <w:r w:rsidR="002B3DC4" w:rsidRPr="00E54204">
        <w:rPr>
          <w:rFonts w:cs="Times New Roman"/>
          <w:szCs w:val="20"/>
        </w:rPr>
        <w:t>.</w:t>
      </w:r>
      <w:r w:rsidR="004C6002" w:rsidRPr="00E54204">
        <w:rPr>
          <w:rFonts w:cs="Times New Roman"/>
          <w:szCs w:val="20"/>
        </w:rPr>
        <w:t xml:space="preserve">  These para</w:t>
      </w:r>
      <w:r w:rsidR="009F67B0" w:rsidRPr="00E54204">
        <w:rPr>
          <w:rFonts w:cs="Times New Roman"/>
          <w:szCs w:val="20"/>
        </w:rPr>
        <w:t>llels</w:t>
      </w:r>
      <w:r w:rsidR="00F42E4C" w:rsidRPr="00E54204">
        <w:rPr>
          <w:rFonts w:cs="Times New Roman"/>
          <w:szCs w:val="20"/>
        </w:rPr>
        <w:t>, I believe, are indicative of how texts were translated and appropriated by the rabbis so as</w:t>
      </w:r>
      <w:r w:rsidR="002A30CE" w:rsidRPr="00E54204">
        <w:rPr>
          <w:rFonts w:cs="Times New Roman"/>
          <w:szCs w:val="20"/>
        </w:rPr>
        <w:t xml:space="preserve"> to reflect similarities between</w:t>
      </w:r>
      <w:r w:rsidR="00F42E4C" w:rsidRPr="00E54204">
        <w:rPr>
          <w:rFonts w:cs="Times New Roman"/>
          <w:szCs w:val="20"/>
        </w:rPr>
        <w:t xml:space="preserve"> anonymous heavenly voices</w:t>
      </w:r>
      <w:r w:rsidR="006443A1" w:rsidRPr="00E54204">
        <w:rPr>
          <w:rFonts w:cs="Times New Roman"/>
          <w:szCs w:val="20"/>
        </w:rPr>
        <w:t xml:space="preserve"> (primarily from the Hebrew Bible)</w:t>
      </w:r>
      <w:r w:rsidR="00F42E4C" w:rsidRPr="00E54204">
        <w:rPr>
          <w:rFonts w:cs="Times New Roman"/>
          <w:szCs w:val="20"/>
        </w:rPr>
        <w:t xml:space="preserve"> and the </w:t>
      </w:r>
      <w:r w:rsidR="00F42E4C" w:rsidRPr="00E54204">
        <w:rPr>
          <w:rFonts w:cs="Times New Roman"/>
          <w:i/>
          <w:szCs w:val="20"/>
        </w:rPr>
        <w:t xml:space="preserve">bat kol </w:t>
      </w:r>
      <w:r w:rsidR="00F42E4C" w:rsidRPr="00E54204">
        <w:rPr>
          <w:rFonts w:cs="Times New Roman"/>
          <w:szCs w:val="20"/>
        </w:rPr>
        <w:t>of rabbinic literature.</w:t>
      </w:r>
      <w:r w:rsidR="002B3DC4" w:rsidRPr="00E54204">
        <w:rPr>
          <w:rFonts w:cs="Times New Roman"/>
          <w:i/>
          <w:szCs w:val="20"/>
        </w:rPr>
        <w:t xml:space="preserve">  </w:t>
      </w:r>
    </w:p>
    <w:p w14:paraId="1019C816" w14:textId="77777777" w:rsidR="00E8257A" w:rsidRPr="00E54204" w:rsidRDefault="00E8257A" w:rsidP="00ED18D8">
      <w:pPr>
        <w:spacing w:after="160"/>
        <w:jc w:val="center"/>
        <w:rPr>
          <w:b/>
          <w:szCs w:val="20"/>
        </w:rPr>
      </w:pPr>
    </w:p>
    <w:p w14:paraId="481D9F86" w14:textId="77777777" w:rsidR="00E8257A" w:rsidRPr="00E54204" w:rsidRDefault="00E8257A" w:rsidP="00ED18D8">
      <w:pPr>
        <w:spacing w:after="160"/>
        <w:jc w:val="center"/>
        <w:rPr>
          <w:b/>
          <w:szCs w:val="20"/>
        </w:rPr>
      </w:pPr>
    </w:p>
    <w:p w14:paraId="337DC5FA" w14:textId="77777777" w:rsidR="00E8257A" w:rsidRPr="00E54204" w:rsidRDefault="00E8257A" w:rsidP="00ED18D8">
      <w:pPr>
        <w:spacing w:after="160"/>
        <w:jc w:val="center"/>
        <w:rPr>
          <w:b/>
          <w:szCs w:val="20"/>
        </w:rPr>
      </w:pPr>
    </w:p>
    <w:p w14:paraId="7B20C9AE" w14:textId="77777777" w:rsidR="00554D3D" w:rsidRPr="00E54204" w:rsidRDefault="00554D3D" w:rsidP="00841287">
      <w:pPr>
        <w:spacing w:after="160"/>
        <w:jc w:val="center"/>
        <w:rPr>
          <w:b/>
          <w:szCs w:val="20"/>
        </w:rPr>
      </w:pPr>
    </w:p>
    <w:p w14:paraId="33E60B74" w14:textId="77777777" w:rsidR="00554D3D" w:rsidRPr="00E54204" w:rsidRDefault="00554D3D" w:rsidP="00841287">
      <w:pPr>
        <w:spacing w:after="160"/>
        <w:jc w:val="center"/>
        <w:rPr>
          <w:b/>
          <w:szCs w:val="20"/>
        </w:rPr>
      </w:pPr>
    </w:p>
    <w:p w14:paraId="1B5222B5" w14:textId="77777777" w:rsidR="006443A1" w:rsidRPr="00E54204" w:rsidRDefault="006443A1" w:rsidP="00C8400C">
      <w:pPr>
        <w:spacing w:after="160"/>
        <w:jc w:val="center"/>
        <w:rPr>
          <w:b/>
          <w:szCs w:val="20"/>
        </w:rPr>
      </w:pPr>
    </w:p>
    <w:p w14:paraId="390A2AC2" w14:textId="77777777" w:rsidR="006443A1" w:rsidRPr="00E54204" w:rsidRDefault="006443A1" w:rsidP="00C8400C">
      <w:pPr>
        <w:spacing w:after="160"/>
        <w:jc w:val="center"/>
        <w:rPr>
          <w:b/>
          <w:szCs w:val="20"/>
        </w:rPr>
      </w:pPr>
    </w:p>
    <w:p w14:paraId="5617265F" w14:textId="77777777" w:rsidR="007D4528" w:rsidRPr="00E54204" w:rsidRDefault="00376C69" w:rsidP="00073BBB">
      <w:pPr>
        <w:spacing w:after="160"/>
        <w:jc w:val="center"/>
        <w:rPr>
          <w:b/>
          <w:szCs w:val="20"/>
        </w:rPr>
      </w:pPr>
      <w:r w:rsidRPr="00E54204">
        <w:rPr>
          <w:b/>
          <w:szCs w:val="20"/>
        </w:rPr>
        <w:t>ORIGINS</w:t>
      </w:r>
    </w:p>
    <w:p w14:paraId="5127F8CE" w14:textId="77777777" w:rsidR="00AA1903" w:rsidRPr="00E54204" w:rsidRDefault="009A5E7E" w:rsidP="007D4528">
      <w:pPr>
        <w:spacing w:after="160"/>
        <w:rPr>
          <w:b/>
          <w:szCs w:val="20"/>
        </w:rPr>
      </w:pPr>
      <w:r w:rsidRPr="00E54204">
        <w:rPr>
          <w:b/>
          <w:szCs w:val="20"/>
        </w:rPr>
        <w:t>I.</w:t>
      </w:r>
      <w:r w:rsidRPr="00E54204">
        <w:rPr>
          <w:b/>
          <w:szCs w:val="20"/>
        </w:rPr>
        <w:tab/>
      </w:r>
      <w:r w:rsidR="00AA1903" w:rsidRPr="00E54204">
        <w:rPr>
          <w:b/>
          <w:szCs w:val="20"/>
        </w:rPr>
        <w:t>Introduction</w:t>
      </w:r>
    </w:p>
    <w:p w14:paraId="0580DF11" w14:textId="77777777" w:rsidR="004D6D82" w:rsidRPr="00E54204" w:rsidRDefault="00AA1903" w:rsidP="004D6D82">
      <w:pPr>
        <w:spacing w:after="160"/>
        <w:ind w:firstLine="720"/>
        <w:rPr>
          <w:szCs w:val="20"/>
        </w:rPr>
      </w:pPr>
      <w:r w:rsidRPr="00E54204">
        <w:rPr>
          <w:szCs w:val="20"/>
        </w:rPr>
        <w:t xml:space="preserve">Before proceeding to present specific cases of the </w:t>
      </w:r>
      <w:r w:rsidRPr="00E54204">
        <w:rPr>
          <w:i/>
          <w:szCs w:val="20"/>
        </w:rPr>
        <w:t xml:space="preserve">bat kol </w:t>
      </w:r>
      <w:r w:rsidRPr="00E54204">
        <w:rPr>
          <w:szCs w:val="20"/>
        </w:rPr>
        <w:t>and their relevance for elucidating its overall function in the B</w:t>
      </w:r>
      <w:r w:rsidR="00CD124D" w:rsidRPr="00E54204">
        <w:rPr>
          <w:szCs w:val="20"/>
        </w:rPr>
        <w:t>abylonian Talmud, I will explore</w:t>
      </w:r>
      <w:r w:rsidR="00C12104" w:rsidRPr="00E54204">
        <w:rPr>
          <w:szCs w:val="20"/>
        </w:rPr>
        <w:t xml:space="preserve"> the</w:t>
      </w:r>
      <w:r w:rsidR="00CD124D" w:rsidRPr="00E54204">
        <w:rPr>
          <w:szCs w:val="20"/>
        </w:rPr>
        <w:t xml:space="preserve"> </w:t>
      </w:r>
      <w:r w:rsidR="00C12104" w:rsidRPr="00E54204">
        <w:rPr>
          <w:szCs w:val="20"/>
        </w:rPr>
        <w:t>probable</w:t>
      </w:r>
      <w:r w:rsidR="00724BCC" w:rsidRPr="00E54204">
        <w:rPr>
          <w:szCs w:val="20"/>
        </w:rPr>
        <w:t xml:space="preserve"> origins of this term.  </w:t>
      </w:r>
      <w:r w:rsidRPr="00E54204">
        <w:rPr>
          <w:szCs w:val="20"/>
        </w:rPr>
        <w:t>Indeed, the fact that it was employed by the rabbis at all suggests that it containe</w:t>
      </w:r>
      <w:r w:rsidR="00CD124D" w:rsidRPr="00E54204">
        <w:rPr>
          <w:szCs w:val="20"/>
        </w:rPr>
        <w:t>d value, both for themselves as well as</w:t>
      </w:r>
      <w:r w:rsidRPr="00E54204">
        <w:rPr>
          <w:szCs w:val="20"/>
        </w:rPr>
        <w:t xml:space="preserve"> their intended audiences.  Furthermore this seems to be the case for several peoples in the ancient world.</w:t>
      </w:r>
      <w:r w:rsidRPr="00E54204">
        <w:rPr>
          <w:szCs w:val="20"/>
          <w:vertAlign w:val="superscript"/>
        </w:rPr>
        <w:footnoteReference w:id="130"/>
      </w:r>
      <w:r w:rsidRPr="00E54204">
        <w:rPr>
          <w:szCs w:val="20"/>
        </w:rPr>
        <w:t xml:space="preserve">  </w:t>
      </w:r>
    </w:p>
    <w:p w14:paraId="3BFA35B1" w14:textId="77777777" w:rsidR="00C12104" w:rsidRPr="00E54204" w:rsidRDefault="00376C69" w:rsidP="004D6D82">
      <w:pPr>
        <w:spacing w:after="160"/>
        <w:ind w:firstLine="720"/>
        <w:rPr>
          <w:szCs w:val="20"/>
        </w:rPr>
      </w:pPr>
      <w:r w:rsidRPr="00E54204">
        <w:rPr>
          <w:szCs w:val="20"/>
        </w:rPr>
        <w:t xml:space="preserve">The sages believed that the voice that spoke to Abraham, </w:t>
      </w:r>
      <w:r w:rsidR="0044724E" w:rsidRPr="00E54204">
        <w:rPr>
          <w:szCs w:val="20"/>
        </w:rPr>
        <w:t>Moses, David</w:t>
      </w:r>
      <w:r w:rsidRPr="00E54204">
        <w:rPr>
          <w:szCs w:val="20"/>
        </w:rPr>
        <w:t xml:space="preserve"> and others</w:t>
      </w:r>
      <w:r w:rsidR="0044724E" w:rsidRPr="00E54204">
        <w:rPr>
          <w:szCs w:val="20"/>
        </w:rPr>
        <w:t xml:space="preserve"> in Biblical times</w:t>
      </w:r>
      <w:r w:rsidRPr="00E54204">
        <w:rPr>
          <w:szCs w:val="20"/>
        </w:rPr>
        <w:t xml:space="preserve"> was none other than the </w:t>
      </w:r>
      <w:r w:rsidRPr="00E54204">
        <w:rPr>
          <w:i/>
          <w:szCs w:val="20"/>
        </w:rPr>
        <w:t>bat kol.</w:t>
      </w:r>
      <w:r w:rsidRPr="00E54204">
        <w:rPr>
          <w:rStyle w:val="FootnoteReference"/>
          <w:szCs w:val="20"/>
        </w:rPr>
        <w:footnoteReference w:id="131"/>
      </w:r>
      <w:r w:rsidR="00724BCC" w:rsidRPr="00E54204">
        <w:rPr>
          <w:szCs w:val="20"/>
        </w:rPr>
        <w:t xml:space="preserve">  Nevertheless the phrase, </w:t>
      </w:r>
      <w:r w:rsidR="00724BCC" w:rsidRPr="00E54204">
        <w:rPr>
          <w:i/>
          <w:szCs w:val="20"/>
        </w:rPr>
        <w:t>bat kol</w:t>
      </w:r>
      <w:r w:rsidR="00CD124D" w:rsidRPr="00E54204">
        <w:rPr>
          <w:szCs w:val="20"/>
        </w:rPr>
        <w:t>, does not exist</w:t>
      </w:r>
      <w:r w:rsidR="00724BCC" w:rsidRPr="00E54204">
        <w:rPr>
          <w:szCs w:val="20"/>
        </w:rPr>
        <w:t xml:space="preserve"> in the Biblical text</w:t>
      </w:r>
      <w:r w:rsidR="009433C7" w:rsidRPr="00E54204">
        <w:rPr>
          <w:szCs w:val="20"/>
        </w:rPr>
        <w:t xml:space="preserve"> </w:t>
      </w:r>
      <w:r w:rsidR="003558F4" w:rsidRPr="00E54204">
        <w:rPr>
          <w:szCs w:val="20"/>
        </w:rPr>
        <w:t>or any other ancient document prior to the writing</w:t>
      </w:r>
      <w:r w:rsidR="00CD124D" w:rsidRPr="00E54204">
        <w:rPr>
          <w:szCs w:val="20"/>
        </w:rPr>
        <w:t>s of the rabbis.  However</w:t>
      </w:r>
      <w:r w:rsidR="009433C7" w:rsidRPr="00E54204">
        <w:rPr>
          <w:szCs w:val="20"/>
        </w:rPr>
        <w:t>,</w:t>
      </w:r>
      <w:r w:rsidR="00CD124D" w:rsidRPr="00E54204">
        <w:rPr>
          <w:szCs w:val="20"/>
        </w:rPr>
        <w:t xml:space="preserve"> we do</w:t>
      </w:r>
      <w:r w:rsidR="003558F4" w:rsidRPr="00E54204">
        <w:rPr>
          <w:szCs w:val="20"/>
        </w:rPr>
        <w:t xml:space="preserve"> note</w:t>
      </w:r>
      <w:r w:rsidR="00724BCC" w:rsidRPr="00E54204">
        <w:rPr>
          <w:szCs w:val="20"/>
        </w:rPr>
        <w:t xml:space="preserve"> many anonymous voices f</w:t>
      </w:r>
      <w:r w:rsidR="003558F4" w:rsidRPr="00E54204">
        <w:rPr>
          <w:szCs w:val="20"/>
        </w:rPr>
        <w:t>ro</w:t>
      </w:r>
      <w:r w:rsidR="00CD124D" w:rsidRPr="00E54204">
        <w:rPr>
          <w:szCs w:val="20"/>
        </w:rPr>
        <w:t>m heaven interrupting in various</w:t>
      </w:r>
      <w:r w:rsidR="003558F4" w:rsidRPr="00E54204">
        <w:rPr>
          <w:szCs w:val="20"/>
        </w:rPr>
        <w:t xml:space="preserve"> Biblical stories; this chapter will survey a handful of these key events.</w:t>
      </w:r>
      <w:r w:rsidR="003558F4" w:rsidRPr="00E54204">
        <w:rPr>
          <w:i/>
          <w:szCs w:val="20"/>
        </w:rPr>
        <w:t xml:space="preserve">  </w:t>
      </w:r>
      <w:r w:rsidRPr="00E54204">
        <w:rPr>
          <w:szCs w:val="20"/>
        </w:rPr>
        <w:t xml:space="preserve">Therefore, </w:t>
      </w:r>
      <w:r w:rsidR="00AA1903" w:rsidRPr="00E54204">
        <w:rPr>
          <w:szCs w:val="20"/>
        </w:rPr>
        <w:t xml:space="preserve">I view the </w:t>
      </w:r>
      <w:r w:rsidR="00AA1903" w:rsidRPr="00E54204">
        <w:rPr>
          <w:i/>
          <w:szCs w:val="20"/>
        </w:rPr>
        <w:t xml:space="preserve">bat kol </w:t>
      </w:r>
      <w:r w:rsidR="003558F4" w:rsidRPr="00E54204">
        <w:rPr>
          <w:szCs w:val="20"/>
        </w:rPr>
        <w:t xml:space="preserve">as closely derived from </w:t>
      </w:r>
      <w:r w:rsidR="00AA1903" w:rsidRPr="00E54204">
        <w:rPr>
          <w:szCs w:val="20"/>
        </w:rPr>
        <w:t>the Biblical co</w:t>
      </w:r>
      <w:r w:rsidR="00E858D0" w:rsidRPr="00E54204">
        <w:rPr>
          <w:szCs w:val="20"/>
        </w:rPr>
        <w:t>rpus</w:t>
      </w:r>
      <w:r w:rsidR="007D476D" w:rsidRPr="00E54204">
        <w:rPr>
          <w:szCs w:val="20"/>
        </w:rPr>
        <w:t>.  This conclusion</w:t>
      </w:r>
      <w:r w:rsidR="00315D99" w:rsidRPr="00E54204">
        <w:rPr>
          <w:szCs w:val="20"/>
        </w:rPr>
        <w:t xml:space="preserve"> is</w:t>
      </w:r>
      <w:r w:rsidR="00AA1903" w:rsidRPr="00E54204">
        <w:rPr>
          <w:szCs w:val="20"/>
        </w:rPr>
        <w:t xml:space="preserve"> no</w:t>
      </w:r>
      <w:r w:rsidR="00315D99" w:rsidRPr="00E54204">
        <w:rPr>
          <w:szCs w:val="20"/>
        </w:rPr>
        <w:t xml:space="preserve">t </w:t>
      </w:r>
      <w:r w:rsidR="009433C7" w:rsidRPr="00E54204">
        <w:rPr>
          <w:szCs w:val="20"/>
        </w:rPr>
        <w:t>definitive;</w:t>
      </w:r>
      <w:r w:rsidR="00AA1903" w:rsidRPr="00E54204">
        <w:rPr>
          <w:szCs w:val="20"/>
        </w:rPr>
        <w:t xml:space="preserve"> rath</w:t>
      </w:r>
      <w:r w:rsidR="00E858D0" w:rsidRPr="00E54204">
        <w:rPr>
          <w:szCs w:val="20"/>
        </w:rPr>
        <w:t>er</w:t>
      </w:r>
      <w:r w:rsidR="009433C7" w:rsidRPr="00E54204">
        <w:rPr>
          <w:szCs w:val="20"/>
        </w:rPr>
        <w:t>,</w:t>
      </w:r>
      <w:r w:rsidR="00E858D0" w:rsidRPr="00E54204">
        <w:rPr>
          <w:szCs w:val="20"/>
        </w:rPr>
        <w:t xml:space="preserve"> I suggest that the voices (</w:t>
      </w:r>
      <w:r w:rsidR="00E858D0" w:rsidRPr="00E54204">
        <w:rPr>
          <w:i/>
          <w:szCs w:val="20"/>
        </w:rPr>
        <w:t>kolot</w:t>
      </w:r>
      <w:r w:rsidR="00E858D0" w:rsidRPr="00E54204">
        <w:rPr>
          <w:szCs w:val="20"/>
        </w:rPr>
        <w:t>, pl.) of the Biblical narrative</w:t>
      </w:r>
      <w:r w:rsidR="005013EA" w:rsidRPr="00E54204">
        <w:rPr>
          <w:szCs w:val="20"/>
        </w:rPr>
        <w:t xml:space="preserve"> best resemble the </w:t>
      </w:r>
      <w:r w:rsidR="005013EA" w:rsidRPr="00E54204">
        <w:rPr>
          <w:i/>
          <w:szCs w:val="20"/>
        </w:rPr>
        <w:t>bat kol</w:t>
      </w:r>
      <w:r w:rsidR="005013EA" w:rsidRPr="00E54204">
        <w:rPr>
          <w:szCs w:val="20"/>
        </w:rPr>
        <w:t xml:space="preserve"> in terms of language and roles.  </w:t>
      </w:r>
      <w:r w:rsidR="00AA1903" w:rsidRPr="00E54204">
        <w:rPr>
          <w:szCs w:val="20"/>
        </w:rPr>
        <w:t>In fact, it is probable that multiple streams of thought exerci</w:t>
      </w:r>
      <w:r w:rsidR="00724BCC" w:rsidRPr="00E54204">
        <w:rPr>
          <w:szCs w:val="20"/>
        </w:rPr>
        <w:t xml:space="preserve">sed influence. </w:t>
      </w:r>
    </w:p>
    <w:p w14:paraId="08EA88B8" w14:textId="77777777" w:rsidR="00AA1903" w:rsidRPr="00E54204" w:rsidRDefault="00724BCC" w:rsidP="004D6D82">
      <w:pPr>
        <w:spacing w:after="160"/>
        <w:ind w:firstLine="720"/>
        <w:rPr>
          <w:szCs w:val="20"/>
        </w:rPr>
      </w:pPr>
      <w:r w:rsidRPr="00E54204">
        <w:rPr>
          <w:szCs w:val="20"/>
        </w:rPr>
        <w:lastRenderedPageBreak/>
        <w:t>Otto Betz</w:t>
      </w:r>
      <w:r w:rsidR="009433C7" w:rsidRPr="00E54204">
        <w:rPr>
          <w:szCs w:val="20"/>
        </w:rPr>
        <w:t>, for example,</w:t>
      </w:r>
      <w:r w:rsidRPr="00E54204">
        <w:rPr>
          <w:szCs w:val="20"/>
        </w:rPr>
        <w:t xml:space="preserve"> understood</w:t>
      </w:r>
      <w:r w:rsidR="00AA1903" w:rsidRPr="00E54204">
        <w:rPr>
          <w:szCs w:val="20"/>
        </w:rPr>
        <w:t xml:space="preserve"> the rabbinic heavenly voice as</w:t>
      </w:r>
      <w:r w:rsidR="00E858D0" w:rsidRPr="00E54204">
        <w:rPr>
          <w:szCs w:val="20"/>
        </w:rPr>
        <w:t xml:space="preserve"> being </w:t>
      </w:r>
      <w:r w:rsidRPr="00E54204">
        <w:rPr>
          <w:szCs w:val="20"/>
        </w:rPr>
        <w:t>comprised of several sources:</w:t>
      </w:r>
      <w:r w:rsidR="00AA1903" w:rsidRPr="00E54204">
        <w:rPr>
          <w:szCs w:val="20"/>
        </w:rPr>
        <w:t xml:space="preserve"> “Ancient Oriental, OT and especially apocalyptic-visionary traditions are adopted here [referring to the </w:t>
      </w:r>
      <w:r w:rsidR="00AA1903" w:rsidRPr="00E54204">
        <w:rPr>
          <w:i/>
          <w:szCs w:val="20"/>
        </w:rPr>
        <w:t>bat kol</w:t>
      </w:r>
      <w:r w:rsidR="00AA1903" w:rsidRPr="00E54204">
        <w:rPr>
          <w:szCs w:val="20"/>
        </w:rPr>
        <w:t>] and developed and formalized under the impress of the divine transcendence.  The belief in oracles, popular in the Hellenistic world,</w:t>
      </w:r>
      <w:r w:rsidR="00AA1903" w:rsidRPr="00E54204">
        <w:rPr>
          <w:szCs w:val="20"/>
          <w:vertAlign w:val="superscript"/>
        </w:rPr>
        <w:footnoteReference w:id="132"/>
      </w:r>
      <w:r w:rsidR="00AA1903" w:rsidRPr="00E54204">
        <w:rPr>
          <w:szCs w:val="20"/>
        </w:rPr>
        <w:t xml:space="preserve"> also had some influence.”</w:t>
      </w:r>
      <w:r w:rsidR="00AA1903" w:rsidRPr="00E54204">
        <w:rPr>
          <w:szCs w:val="20"/>
          <w:vertAlign w:val="superscript"/>
        </w:rPr>
        <w:footnoteReference w:id="133"/>
      </w:r>
      <w:r w:rsidR="00E858D0" w:rsidRPr="00E54204">
        <w:rPr>
          <w:szCs w:val="20"/>
        </w:rPr>
        <w:t xml:space="preserve">  In Betz’s view, a multiplicity of sources</w:t>
      </w:r>
      <w:r w:rsidR="00AA1903" w:rsidRPr="00E54204">
        <w:rPr>
          <w:szCs w:val="20"/>
        </w:rPr>
        <w:t xml:space="preserve"> fed into the emergence of the rabbinic “heavenly voice.”</w:t>
      </w:r>
      <w:r w:rsidR="00CA20EB" w:rsidRPr="00E54204">
        <w:rPr>
          <w:szCs w:val="20"/>
        </w:rPr>
        <w:t xml:space="preserve">  I think Betz’s observation is well taken given the resemblances between the several bodies of literature.  The purpose of this chapter is to present some of these similarities.</w:t>
      </w:r>
    </w:p>
    <w:p w14:paraId="288B9DE9" w14:textId="77777777" w:rsidR="00AA1903" w:rsidRPr="00E54204" w:rsidRDefault="005013EA" w:rsidP="004D6D82">
      <w:pPr>
        <w:spacing w:after="160"/>
        <w:ind w:firstLine="720"/>
        <w:rPr>
          <w:szCs w:val="20"/>
        </w:rPr>
      </w:pPr>
      <w:r w:rsidRPr="00E54204">
        <w:rPr>
          <w:szCs w:val="20"/>
        </w:rPr>
        <w:t>Concepts are best</w:t>
      </w:r>
      <w:r w:rsidR="00AA1903" w:rsidRPr="00E54204">
        <w:rPr>
          <w:szCs w:val="20"/>
        </w:rPr>
        <w:t xml:space="preserve"> understood when placed within literary-historical contexts.  This in turn helps elucidate their nature, development, </w:t>
      </w:r>
      <w:r w:rsidR="006000A8" w:rsidRPr="00E54204">
        <w:rPr>
          <w:szCs w:val="20"/>
        </w:rPr>
        <w:t>and purpose</w:t>
      </w:r>
      <w:r w:rsidR="00AA1903" w:rsidRPr="00E54204">
        <w:rPr>
          <w:szCs w:val="20"/>
        </w:rPr>
        <w:t>.</w:t>
      </w:r>
      <w:r w:rsidR="00AA1903" w:rsidRPr="00E54204">
        <w:rPr>
          <w:i/>
          <w:szCs w:val="20"/>
        </w:rPr>
        <w:t xml:space="preserve">  </w:t>
      </w:r>
      <w:r w:rsidR="00AA1903" w:rsidRPr="00E54204">
        <w:rPr>
          <w:szCs w:val="20"/>
        </w:rPr>
        <w:t xml:space="preserve">Though tracing the manner in which different cultures and or texts may have had bearing is not simple, however.  The Babylonian Talmud depicts different purposes for the </w:t>
      </w:r>
      <w:r w:rsidR="00AA1903" w:rsidRPr="00E54204">
        <w:rPr>
          <w:i/>
          <w:szCs w:val="20"/>
        </w:rPr>
        <w:t>bat kol</w:t>
      </w:r>
      <w:r w:rsidR="00AA1903" w:rsidRPr="00E54204">
        <w:rPr>
          <w:szCs w:val="20"/>
        </w:rPr>
        <w:t>; that is, it is not uniform</w:t>
      </w:r>
      <w:r w:rsidR="00AA1903" w:rsidRPr="00E54204">
        <w:rPr>
          <w:i/>
          <w:szCs w:val="20"/>
        </w:rPr>
        <w:t xml:space="preserve"> </w:t>
      </w:r>
      <w:r w:rsidR="00AA1903" w:rsidRPr="00E54204">
        <w:rPr>
          <w:szCs w:val="20"/>
        </w:rPr>
        <w:t>and in this r</w:t>
      </w:r>
      <w:r w:rsidR="00C01ABF" w:rsidRPr="00E54204">
        <w:rPr>
          <w:szCs w:val="20"/>
        </w:rPr>
        <w:t xml:space="preserve">egard resembles other rabbinic writings.  </w:t>
      </w:r>
      <w:r w:rsidR="00AA1903" w:rsidRPr="00E54204">
        <w:rPr>
          <w:szCs w:val="20"/>
        </w:rPr>
        <w:t>Despite its variety in functio</w:t>
      </w:r>
      <w:r w:rsidR="00C87143" w:rsidRPr="00E54204">
        <w:rPr>
          <w:szCs w:val="20"/>
        </w:rPr>
        <w:t>n, the contours</w:t>
      </w:r>
      <w:r w:rsidR="00C01ABF" w:rsidRPr="00E54204">
        <w:rPr>
          <w:szCs w:val="20"/>
        </w:rPr>
        <w:t xml:space="preserve"> of categories</w:t>
      </w:r>
      <w:r w:rsidR="00A36857" w:rsidRPr="00E54204">
        <w:rPr>
          <w:szCs w:val="20"/>
        </w:rPr>
        <w:t xml:space="preserve"> become visible.</w:t>
      </w:r>
      <w:r w:rsidR="00CD124D" w:rsidRPr="00E54204">
        <w:rPr>
          <w:szCs w:val="20"/>
        </w:rPr>
        <w:t xml:space="preserve">  These are overarching themes that once synthesized</w:t>
      </w:r>
      <w:r w:rsidR="00A36857" w:rsidRPr="00E54204">
        <w:rPr>
          <w:szCs w:val="20"/>
        </w:rPr>
        <w:t xml:space="preserve"> produce a more cohesive view of the purpose</w:t>
      </w:r>
      <w:r w:rsidR="00CD124D" w:rsidRPr="00E54204">
        <w:rPr>
          <w:szCs w:val="20"/>
        </w:rPr>
        <w:t>(s)</w:t>
      </w:r>
      <w:r w:rsidR="00A36857" w:rsidRPr="00E54204">
        <w:rPr>
          <w:szCs w:val="20"/>
        </w:rPr>
        <w:t xml:space="preserve"> of the </w:t>
      </w:r>
      <w:r w:rsidR="00A36857" w:rsidRPr="00E54204">
        <w:rPr>
          <w:i/>
          <w:szCs w:val="20"/>
        </w:rPr>
        <w:t>bat kol</w:t>
      </w:r>
      <w:r w:rsidR="001D07F3" w:rsidRPr="00E54204">
        <w:rPr>
          <w:szCs w:val="20"/>
        </w:rPr>
        <w:t>.  That is to say, in discovering</w:t>
      </w:r>
      <w:r w:rsidR="00CD124D" w:rsidRPr="00E54204">
        <w:rPr>
          <w:szCs w:val="20"/>
        </w:rPr>
        <w:t xml:space="preserve"> </w:t>
      </w:r>
      <w:r w:rsidR="00A36857" w:rsidRPr="00E54204">
        <w:rPr>
          <w:szCs w:val="20"/>
        </w:rPr>
        <w:t>function</w:t>
      </w:r>
      <w:r w:rsidR="00CD124D" w:rsidRPr="00E54204">
        <w:rPr>
          <w:szCs w:val="20"/>
        </w:rPr>
        <w:t>ality</w:t>
      </w:r>
      <w:r w:rsidR="00A36857" w:rsidRPr="00E54204">
        <w:rPr>
          <w:szCs w:val="20"/>
        </w:rPr>
        <w:t xml:space="preserve"> we are in a bett</w:t>
      </w:r>
      <w:r w:rsidR="00CD124D" w:rsidRPr="00E54204">
        <w:rPr>
          <w:szCs w:val="20"/>
        </w:rPr>
        <w:t>er position to understand</w:t>
      </w:r>
      <w:r w:rsidR="001D07F3" w:rsidRPr="00E54204">
        <w:rPr>
          <w:szCs w:val="20"/>
        </w:rPr>
        <w:t xml:space="preserve"> origins, notwithstanding other factors which could have shaped the development and usage of the </w:t>
      </w:r>
      <w:r w:rsidR="001D07F3" w:rsidRPr="00E54204">
        <w:rPr>
          <w:i/>
          <w:szCs w:val="20"/>
        </w:rPr>
        <w:t>bat kol</w:t>
      </w:r>
      <w:r w:rsidR="001D07F3" w:rsidRPr="00E54204">
        <w:rPr>
          <w:szCs w:val="20"/>
        </w:rPr>
        <w:t>.</w:t>
      </w:r>
      <w:r w:rsidR="00A36857" w:rsidRPr="00E54204">
        <w:rPr>
          <w:szCs w:val="20"/>
        </w:rPr>
        <w:t xml:space="preserve">  </w:t>
      </w:r>
      <w:r w:rsidR="00AA1903" w:rsidRPr="00E54204">
        <w:rPr>
          <w:szCs w:val="20"/>
        </w:rPr>
        <w:t xml:space="preserve">Indeed, identifying a precise origin for the </w:t>
      </w:r>
      <w:r w:rsidR="00AA1903" w:rsidRPr="00E54204">
        <w:rPr>
          <w:i/>
          <w:szCs w:val="20"/>
        </w:rPr>
        <w:t>bat kol</w:t>
      </w:r>
      <w:r w:rsidR="00AA1903" w:rsidRPr="00E54204">
        <w:rPr>
          <w:szCs w:val="20"/>
        </w:rPr>
        <w:t xml:space="preserve"> is difficult, yet my aim in this </w:t>
      </w:r>
      <w:r w:rsidR="00AA1903" w:rsidRPr="00E54204">
        <w:rPr>
          <w:szCs w:val="20"/>
        </w:rPr>
        <w:lastRenderedPageBreak/>
        <w:t>chapter is to present suggestive evidence that depicts simil</w:t>
      </w:r>
      <w:r w:rsidR="001D07F3" w:rsidRPr="00E54204">
        <w:rPr>
          <w:szCs w:val="20"/>
        </w:rPr>
        <w:t xml:space="preserve">ar uses in other literatures so as to demonstrate bodies of ancient literatures the rabbis were potentially influenced by. </w:t>
      </w:r>
    </w:p>
    <w:p w14:paraId="0F35CDC9" w14:textId="77777777" w:rsidR="00AA1903" w:rsidRPr="00E54204" w:rsidRDefault="000E2591" w:rsidP="004D6D82">
      <w:pPr>
        <w:spacing w:after="160"/>
        <w:ind w:firstLine="720"/>
        <w:rPr>
          <w:rFonts w:cs="Times New Roman"/>
          <w:bCs/>
          <w:szCs w:val="20"/>
          <w:lang w:bidi="he-IL"/>
        </w:rPr>
      </w:pPr>
      <w:r w:rsidRPr="00E54204">
        <w:rPr>
          <w:szCs w:val="20"/>
        </w:rPr>
        <w:t>The rabbis did not explain the origin of</w:t>
      </w:r>
      <w:r w:rsidR="00AA1903" w:rsidRPr="00E54204">
        <w:rPr>
          <w:szCs w:val="20"/>
        </w:rPr>
        <w:t xml:space="preserve"> the </w:t>
      </w:r>
      <w:r w:rsidR="00AA1903" w:rsidRPr="00E54204">
        <w:rPr>
          <w:i/>
          <w:szCs w:val="20"/>
        </w:rPr>
        <w:t xml:space="preserve">bat kol </w:t>
      </w:r>
      <w:r w:rsidRPr="00E54204">
        <w:rPr>
          <w:szCs w:val="20"/>
        </w:rPr>
        <w:t>per se</w:t>
      </w:r>
      <w:r w:rsidR="00AA1903" w:rsidRPr="00E54204">
        <w:rPr>
          <w:szCs w:val="20"/>
        </w:rPr>
        <w:t>.  Yet,</w:t>
      </w:r>
      <w:r w:rsidR="0061101E" w:rsidRPr="00E54204">
        <w:rPr>
          <w:szCs w:val="20"/>
        </w:rPr>
        <w:t xml:space="preserve"> key statement</w:t>
      </w:r>
      <w:r w:rsidRPr="00E54204">
        <w:rPr>
          <w:szCs w:val="20"/>
        </w:rPr>
        <w:t>s are</w:t>
      </w:r>
      <w:r w:rsidR="0061101E" w:rsidRPr="00E54204">
        <w:rPr>
          <w:szCs w:val="20"/>
        </w:rPr>
        <w:t xml:space="preserve"> </w:t>
      </w:r>
      <w:r w:rsidR="00AA1903" w:rsidRPr="00E54204">
        <w:rPr>
          <w:szCs w:val="20"/>
        </w:rPr>
        <w:t>found in the Tosefta:</w:t>
      </w:r>
      <w:r w:rsidR="00AA1903" w:rsidRPr="00E54204">
        <w:rPr>
          <w:szCs w:val="20"/>
          <w:vertAlign w:val="superscript"/>
        </w:rPr>
        <w:footnoteReference w:id="134"/>
      </w:r>
      <w:r w:rsidR="00AA1903" w:rsidRPr="00E54204">
        <w:rPr>
          <w:szCs w:val="20"/>
        </w:rPr>
        <w:t xml:space="preserve"> “</w:t>
      </w:r>
      <w:r w:rsidR="00AA1903" w:rsidRPr="00E54204">
        <w:rPr>
          <w:rFonts w:cs="Times New Roman"/>
          <w:bCs/>
          <w:szCs w:val="20"/>
          <w:lang w:bidi="he-IL"/>
        </w:rPr>
        <w:t>After the death of Haggai, Zechariah and Malachi, the last Prophets, the Holy Spirit ceased from Israel; nevertheless they were spoken to through the Bat Kol.”</w:t>
      </w:r>
      <w:r w:rsidR="00AA1903" w:rsidRPr="00E54204">
        <w:rPr>
          <w:rFonts w:cs="Times New Roman"/>
          <w:bCs/>
          <w:szCs w:val="20"/>
          <w:vertAlign w:val="superscript"/>
          <w:lang w:bidi="he-IL"/>
        </w:rPr>
        <w:footnoteReference w:id="135"/>
      </w:r>
      <w:r w:rsidR="00AA1903" w:rsidRPr="00E54204">
        <w:rPr>
          <w:rFonts w:cs="Times New Roman"/>
          <w:bCs/>
          <w:szCs w:val="20"/>
          <w:lang w:bidi="he-IL"/>
        </w:rPr>
        <w:t xml:space="preserve"> A clear demarcation is made after the last Biblical prophets; it is presumed the Holy Spirit</w:t>
      </w:r>
      <w:r w:rsidR="00AA1903" w:rsidRPr="00E54204">
        <w:rPr>
          <w:rFonts w:cs="Times New Roman"/>
          <w:bCs/>
          <w:szCs w:val="20"/>
          <w:vertAlign w:val="superscript"/>
          <w:lang w:bidi="he-IL"/>
        </w:rPr>
        <w:footnoteReference w:id="136"/>
      </w:r>
      <w:r w:rsidR="00AA1903" w:rsidRPr="00E54204">
        <w:rPr>
          <w:rFonts w:cs="Times New Roman"/>
          <w:bCs/>
          <w:szCs w:val="20"/>
          <w:lang w:bidi="he-IL"/>
        </w:rPr>
        <w:t xml:space="preserve"> desisted from its revelatory activities.  Frederick Greenspahn in his article, “Why Prophecy Ceased,” connected the loss of the Holy Spirit with the Ba</w:t>
      </w:r>
      <w:r w:rsidR="0061101E" w:rsidRPr="00E54204">
        <w:rPr>
          <w:rFonts w:cs="Times New Roman"/>
          <w:bCs/>
          <w:szCs w:val="20"/>
          <w:lang w:bidi="he-IL"/>
        </w:rPr>
        <w:t>bylonian Exile; its presence (and subsequent</w:t>
      </w:r>
      <w:r w:rsidR="00AA1903" w:rsidRPr="00E54204">
        <w:rPr>
          <w:rFonts w:cs="Times New Roman"/>
          <w:bCs/>
          <w:szCs w:val="20"/>
          <w:lang w:bidi="he-IL"/>
        </w:rPr>
        <w:t xml:space="preserve"> lack thereof) was an imp</w:t>
      </w:r>
      <w:r w:rsidR="009551D8" w:rsidRPr="00E54204">
        <w:rPr>
          <w:rFonts w:cs="Times New Roman"/>
          <w:bCs/>
          <w:szCs w:val="20"/>
          <w:lang w:bidi="he-IL"/>
        </w:rPr>
        <w:t>ortant distinction between the First and S</w:t>
      </w:r>
      <w:r w:rsidR="00AA1903" w:rsidRPr="00E54204">
        <w:rPr>
          <w:rFonts w:cs="Times New Roman"/>
          <w:bCs/>
          <w:szCs w:val="20"/>
          <w:lang w:bidi="he-IL"/>
        </w:rPr>
        <w:t>econd Temples.</w:t>
      </w:r>
      <w:r w:rsidR="00AA1903" w:rsidRPr="00E54204">
        <w:rPr>
          <w:rFonts w:cs="Times New Roman"/>
          <w:bCs/>
          <w:szCs w:val="20"/>
          <w:vertAlign w:val="superscript"/>
          <w:lang w:bidi="he-IL"/>
        </w:rPr>
        <w:footnoteReference w:id="137"/>
      </w:r>
      <w:r w:rsidR="00AA1903" w:rsidRPr="00E54204">
        <w:rPr>
          <w:rFonts w:cs="Times New Roman"/>
          <w:bCs/>
          <w:szCs w:val="20"/>
          <w:lang w:bidi="he-IL"/>
        </w:rPr>
        <w:t xml:space="preserve">  Moreover, Arthur Marmorstein suggested the rabbis viewed the destruction of the Second Temple as the termination of prophecy.</w:t>
      </w:r>
      <w:r w:rsidR="00AA1903" w:rsidRPr="00E54204">
        <w:rPr>
          <w:rFonts w:cs="Times New Roman"/>
          <w:bCs/>
          <w:szCs w:val="20"/>
          <w:vertAlign w:val="superscript"/>
          <w:lang w:bidi="he-IL"/>
        </w:rPr>
        <w:footnoteReference w:id="138"/>
      </w:r>
      <w:r w:rsidR="00AA1903" w:rsidRPr="00E54204">
        <w:rPr>
          <w:rFonts w:cs="Times New Roman"/>
          <w:bCs/>
          <w:szCs w:val="20"/>
          <w:lang w:bidi="he-IL"/>
        </w:rPr>
        <w:t xml:space="preserve">  Others like Ephraim Urbach and Nahum Glatzer interpreted this statement as polemic rhetoric against groups</w:t>
      </w:r>
      <w:r w:rsidR="00E771BE" w:rsidRPr="00E54204">
        <w:rPr>
          <w:rFonts w:cs="Times New Roman"/>
          <w:bCs/>
          <w:szCs w:val="20"/>
          <w:lang w:bidi="he-IL"/>
        </w:rPr>
        <w:t xml:space="preserve"> such as Christians</w:t>
      </w:r>
      <w:r w:rsidR="00AA1903" w:rsidRPr="00E54204">
        <w:rPr>
          <w:rFonts w:cs="Times New Roman"/>
          <w:bCs/>
          <w:szCs w:val="20"/>
          <w:lang w:bidi="he-IL"/>
        </w:rPr>
        <w:t xml:space="preserve"> who strongly appealed to the prophetic </w:t>
      </w:r>
      <w:r w:rsidR="00261CC1" w:rsidRPr="00E54204">
        <w:rPr>
          <w:rFonts w:cs="Times New Roman"/>
          <w:bCs/>
          <w:szCs w:val="20"/>
          <w:lang w:bidi="he-IL"/>
        </w:rPr>
        <w:t xml:space="preserve">for their </w:t>
      </w:r>
      <w:r w:rsidR="00261CC1" w:rsidRPr="00E54204">
        <w:rPr>
          <w:rFonts w:cs="Times New Roman"/>
          <w:bCs/>
          <w:szCs w:val="20"/>
          <w:lang w:bidi="he-IL"/>
        </w:rPr>
        <w:lastRenderedPageBreak/>
        <w:t>message and viability</w:t>
      </w:r>
      <w:r w:rsidR="00E771BE" w:rsidRPr="00E54204">
        <w:rPr>
          <w:rFonts w:cs="Times New Roman"/>
          <w:bCs/>
          <w:szCs w:val="20"/>
          <w:lang w:bidi="he-IL"/>
        </w:rPr>
        <w:t xml:space="preserve"> and </w:t>
      </w:r>
      <w:r w:rsidR="00AA1903" w:rsidRPr="00E54204">
        <w:rPr>
          <w:rFonts w:cs="Times New Roman"/>
          <w:bCs/>
          <w:szCs w:val="20"/>
          <w:lang w:bidi="he-IL"/>
        </w:rPr>
        <w:t>who may have claimed exclusive possession o</w:t>
      </w:r>
      <w:r w:rsidR="00E771BE" w:rsidRPr="00E54204">
        <w:rPr>
          <w:rFonts w:cs="Times New Roman"/>
          <w:bCs/>
          <w:szCs w:val="20"/>
          <w:lang w:bidi="he-IL"/>
        </w:rPr>
        <w:t>f the Holy Spirit</w:t>
      </w:r>
      <w:r w:rsidR="00261CC1" w:rsidRPr="00E54204">
        <w:rPr>
          <w:rFonts w:cs="Times New Roman"/>
          <w:bCs/>
          <w:szCs w:val="20"/>
          <w:lang w:bidi="he-IL"/>
        </w:rPr>
        <w:t>,</w:t>
      </w:r>
      <w:r w:rsidR="00E771BE" w:rsidRPr="00E54204">
        <w:rPr>
          <w:rFonts w:cs="Times New Roman"/>
          <w:bCs/>
          <w:szCs w:val="20"/>
          <w:lang w:bidi="he-IL"/>
        </w:rPr>
        <w:t xml:space="preserve"> at the exclusion</w:t>
      </w:r>
      <w:r w:rsidR="00AA1903" w:rsidRPr="00E54204">
        <w:rPr>
          <w:rFonts w:cs="Times New Roman"/>
          <w:bCs/>
          <w:szCs w:val="20"/>
          <w:lang w:bidi="he-IL"/>
        </w:rPr>
        <w:t xml:space="preserve"> of other groups.  Either way, the basic underlying idea is that a shift occurred in terms of revelation; namely that the Holy Spirit is somehow replaced by the </w:t>
      </w:r>
      <w:r w:rsidR="00AA1903" w:rsidRPr="00E54204">
        <w:rPr>
          <w:rFonts w:cs="Times New Roman"/>
          <w:bCs/>
          <w:i/>
          <w:szCs w:val="20"/>
          <w:lang w:bidi="he-IL"/>
        </w:rPr>
        <w:t>bat kol</w:t>
      </w:r>
      <w:r w:rsidR="00AA1903" w:rsidRPr="00E54204">
        <w:rPr>
          <w:rFonts w:cs="Times New Roman"/>
          <w:bCs/>
          <w:szCs w:val="20"/>
          <w:lang w:bidi="he-IL"/>
        </w:rPr>
        <w:t xml:space="preserve">.  </w:t>
      </w:r>
    </w:p>
    <w:p w14:paraId="1E245F34" w14:textId="77777777" w:rsidR="00AA1903" w:rsidRPr="00E54204" w:rsidRDefault="009A5E7E" w:rsidP="00AA1903">
      <w:pPr>
        <w:spacing w:after="160"/>
        <w:rPr>
          <w:rFonts w:cs="Times New Roman"/>
          <w:bCs/>
          <w:i/>
          <w:szCs w:val="20"/>
          <w:lang w:bidi="he-IL"/>
        </w:rPr>
      </w:pPr>
      <w:r w:rsidRPr="00E54204">
        <w:rPr>
          <w:rFonts w:cs="Times New Roman"/>
          <w:bCs/>
          <w:szCs w:val="20"/>
          <w:lang w:bidi="he-IL"/>
        </w:rPr>
        <w:t>A.</w:t>
      </w:r>
      <w:r w:rsidRPr="00E54204">
        <w:rPr>
          <w:rFonts w:cs="Times New Roman"/>
          <w:bCs/>
          <w:szCs w:val="20"/>
          <w:lang w:bidi="he-IL"/>
        </w:rPr>
        <w:tab/>
      </w:r>
      <w:r w:rsidR="00AA1903" w:rsidRPr="00E54204">
        <w:rPr>
          <w:rFonts w:cs="Times New Roman"/>
          <w:bCs/>
          <w:i/>
          <w:szCs w:val="20"/>
          <w:lang w:bidi="he-IL"/>
        </w:rPr>
        <w:t>“End” of Prophecy</w:t>
      </w:r>
    </w:p>
    <w:p w14:paraId="746516CB" w14:textId="77777777" w:rsidR="00AA1903" w:rsidRPr="00E54204" w:rsidRDefault="00AA1903" w:rsidP="004D6D82">
      <w:pPr>
        <w:spacing w:after="160"/>
        <w:ind w:firstLine="720"/>
        <w:rPr>
          <w:rFonts w:cs="Times New Roman"/>
          <w:bCs/>
          <w:szCs w:val="20"/>
          <w:lang w:bidi="he-IL"/>
        </w:rPr>
      </w:pPr>
      <w:r w:rsidRPr="00E54204">
        <w:rPr>
          <w:rFonts w:cs="Times New Roman"/>
          <w:bCs/>
          <w:szCs w:val="20"/>
          <w:lang w:bidi="he-IL"/>
        </w:rPr>
        <w:t xml:space="preserve">The view that Biblical prophecy ceased finds further backing in other Second Temple works: </w:t>
      </w:r>
      <w:r w:rsidRPr="00E54204">
        <w:rPr>
          <w:rFonts w:cs="Times New Roman"/>
          <w:bCs/>
          <w:i/>
          <w:szCs w:val="20"/>
          <w:lang w:bidi="he-IL"/>
        </w:rPr>
        <w:t>1</w:t>
      </w:r>
      <w:r w:rsidRPr="00E54204">
        <w:rPr>
          <w:rFonts w:cs="Times New Roman"/>
          <w:bCs/>
          <w:i/>
          <w:szCs w:val="20"/>
          <w:vertAlign w:val="superscript"/>
          <w:lang w:bidi="he-IL"/>
        </w:rPr>
        <w:t>st</w:t>
      </w:r>
      <w:r w:rsidRPr="00E54204">
        <w:rPr>
          <w:rFonts w:cs="Times New Roman"/>
          <w:bCs/>
          <w:i/>
          <w:szCs w:val="20"/>
          <w:lang w:bidi="he-IL"/>
        </w:rPr>
        <w:t xml:space="preserve"> Maccabees</w:t>
      </w:r>
      <w:r w:rsidRPr="00E54204">
        <w:rPr>
          <w:rFonts w:cs="Times New Roman"/>
          <w:bCs/>
          <w:szCs w:val="20"/>
          <w:lang w:bidi="he-IL"/>
        </w:rPr>
        <w:t xml:space="preserve">, </w:t>
      </w:r>
      <w:r w:rsidRPr="00E54204">
        <w:rPr>
          <w:rFonts w:cs="Times New Roman"/>
          <w:bCs/>
          <w:i/>
          <w:szCs w:val="20"/>
          <w:lang w:bidi="he-IL"/>
        </w:rPr>
        <w:t>2</w:t>
      </w:r>
      <w:r w:rsidRPr="00E54204">
        <w:rPr>
          <w:rFonts w:cs="Times New Roman"/>
          <w:bCs/>
          <w:i/>
          <w:szCs w:val="20"/>
          <w:vertAlign w:val="superscript"/>
          <w:lang w:bidi="he-IL"/>
        </w:rPr>
        <w:t>nd</w:t>
      </w:r>
      <w:r w:rsidRPr="00E54204">
        <w:rPr>
          <w:rFonts w:cs="Times New Roman"/>
          <w:bCs/>
          <w:i/>
          <w:szCs w:val="20"/>
          <w:lang w:bidi="he-IL"/>
        </w:rPr>
        <w:t xml:space="preserve"> Apocalypse</w:t>
      </w:r>
      <w:r w:rsidRPr="00E54204">
        <w:rPr>
          <w:rFonts w:cs="Times New Roman"/>
          <w:bCs/>
          <w:szCs w:val="20"/>
          <w:lang w:bidi="he-IL"/>
        </w:rPr>
        <w:t xml:space="preserve">, and </w:t>
      </w:r>
      <w:r w:rsidRPr="00E54204">
        <w:rPr>
          <w:rFonts w:cs="Times New Roman"/>
          <w:bCs/>
          <w:i/>
          <w:szCs w:val="20"/>
          <w:lang w:bidi="he-IL"/>
        </w:rPr>
        <w:t>Baruch</w:t>
      </w:r>
      <w:r w:rsidRPr="00E54204">
        <w:rPr>
          <w:rFonts w:cs="Times New Roman"/>
          <w:bCs/>
          <w:szCs w:val="20"/>
          <w:lang w:bidi="he-IL"/>
        </w:rPr>
        <w:t>.</w:t>
      </w:r>
      <w:r w:rsidRPr="00E54204">
        <w:rPr>
          <w:rFonts w:cs="Times New Roman"/>
          <w:bCs/>
          <w:szCs w:val="20"/>
          <w:vertAlign w:val="superscript"/>
          <w:lang w:bidi="he-IL"/>
        </w:rPr>
        <w:footnoteReference w:id="139"/>
      </w:r>
      <w:r w:rsidRPr="00E54204">
        <w:rPr>
          <w:rFonts w:cs="Times New Roman"/>
          <w:bCs/>
          <w:szCs w:val="20"/>
          <w:lang w:bidi="he-IL"/>
        </w:rPr>
        <w:t xml:space="preserve">  Conversely, writings from this same period also affirm the ongoing work and activity of the Holy Spirit and or prophecy: </w:t>
      </w:r>
      <w:r w:rsidRPr="00E54204">
        <w:rPr>
          <w:rFonts w:cs="Times New Roman"/>
          <w:bCs/>
          <w:i/>
          <w:szCs w:val="20"/>
          <w:lang w:bidi="he-IL"/>
        </w:rPr>
        <w:t>Philo, Wisdom of Solomon, Josephus,</w:t>
      </w:r>
      <w:r w:rsidR="00CE1BA1" w:rsidRPr="00E54204">
        <w:rPr>
          <w:rFonts w:cs="Times New Roman"/>
          <w:bCs/>
          <w:szCs w:val="20"/>
          <w:lang w:bidi="he-IL"/>
        </w:rPr>
        <w:t xml:space="preserve"> </w:t>
      </w:r>
      <w:r w:rsidRPr="00E54204">
        <w:rPr>
          <w:rFonts w:cs="Times New Roman"/>
          <w:bCs/>
          <w:szCs w:val="20"/>
          <w:lang w:bidi="he-IL"/>
        </w:rPr>
        <w:t xml:space="preserve">and </w:t>
      </w:r>
      <w:r w:rsidRPr="00E54204">
        <w:rPr>
          <w:rFonts w:cs="Times New Roman"/>
          <w:bCs/>
          <w:i/>
          <w:szCs w:val="20"/>
          <w:lang w:bidi="he-IL"/>
        </w:rPr>
        <w:t xml:space="preserve">Paul </w:t>
      </w:r>
      <w:r w:rsidRPr="00E54204">
        <w:rPr>
          <w:rFonts w:cs="Times New Roman"/>
          <w:bCs/>
          <w:szCs w:val="20"/>
          <w:lang w:bidi="he-IL"/>
        </w:rPr>
        <w:t>just to name a few.</w:t>
      </w:r>
      <w:r w:rsidRPr="00E54204">
        <w:rPr>
          <w:rFonts w:cs="Times New Roman"/>
          <w:bCs/>
          <w:szCs w:val="20"/>
          <w:vertAlign w:val="superscript"/>
          <w:lang w:bidi="he-IL"/>
        </w:rPr>
        <w:t xml:space="preserve"> </w:t>
      </w:r>
      <w:r w:rsidRPr="00E54204">
        <w:rPr>
          <w:rFonts w:cs="Times New Roman"/>
          <w:bCs/>
          <w:szCs w:val="20"/>
          <w:vertAlign w:val="superscript"/>
          <w:lang w:bidi="he-IL"/>
        </w:rPr>
        <w:footnoteReference w:id="140"/>
      </w:r>
      <w:r w:rsidRPr="00E54204">
        <w:rPr>
          <w:rFonts w:cs="Times New Roman"/>
          <w:bCs/>
          <w:szCs w:val="20"/>
          <w:lang w:bidi="he-IL"/>
        </w:rPr>
        <w:t xml:space="preserve">  Furthermore, rabbinic texts also speak of “small p</w:t>
      </w:r>
      <w:r w:rsidR="0061101E" w:rsidRPr="00E54204">
        <w:rPr>
          <w:rFonts w:cs="Times New Roman"/>
          <w:bCs/>
          <w:szCs w:val="20"/>
          <w:lang w:bidi="he-IL"/>
        </w:rPr>
        <w:t>rophecy” and or related activity</w:t>
      </w:r>
      <w:r w:rsidRPr="00E54204">
        <w:rPr>
          <w:rFonts w:cs="Times New Roman"/>
          <w:bCs/>
          <w:szCs w:val="20"/>
          <w:lang w:bidi="he-IL"/>
        </w:rPr>
        <w:t>.</w:t>
      </w:r>
      <w:r w:rsidRPr="00E54204">
        <w:rPr>
          <w:rFonts w:cs="Times New Roman"/>
          <w:bCs/>
          <w:szCs w:val="20"/>
          <w:vertAlign w:val="superscript"/>
          <w:lang w:bidi="he-IL"/>
        </w:rPr>
        <w:footnoteReference w:id="141"/>
      </w:r>
      <w:r w:rsidRPr="00E54204">
        <w:rPr>
          <w:rFonts w:cs="Times New Roman"/>
          <w:bCs/>
          <w:szCs w:val="20"/>
          <w:lang w:bidi="he-IL"/>
        </w:rPr>
        <w:t xml:space="preserve">  Moreover, the </w:t>
      </w:r>
      <w:r w:rsidRPr="00E54204">
        <w:rPr>
          <w:rFonts w:cs="Times New Roman"/>
          <w:bCs/>
          <w:i/>
          <w:szCs w:val="20"/>
          <w:lang w:bidi="he-IL"/>
        </w:rPr>
        <w:t>bat kol</w:t>
      </w:r>
      <w:r w:rsidRPr="00E54204">
        <w:rPr>
          <w:rFonts w:cs="Times New Roman"/>
          <w:bCs/>
          <w:szCs w:val="20"/>
          <w:lang w:bidi="he-IL"/>
        </w:rPr>
        <w:t xml:space="preserve"> is sometimes retrojected into the Biblical narrative, during which time the Holy Spirit was presumably active among God’s people.  Why then would they depict the </w:t>
      </w:r>
      <w:r w:rsidRPr="00E54204">
        <w:rPr>
          <w:rFonts w:cs="Times New Roman"/>
          <w:bCs/>
          <w:i/>
          <w:szCs w:val="20"/>
          <w:lang w:bidi="he-IL"/>
        </w:rPr>
        <w:t>bat kol</w:t>
      </w:r>
      <w:r w:rsidRPr="00E54204">
        <w:rPr>
          <w:rFonts w:cs="Times New Roman"/>
          <w:bCs/>
          <w:szCs w:val="20"/>
          <w:lang w:bidi="he-IL"/>
        </w:rPr>
        <w:t xml:space="preserve"> as active prior to the death of these last mentioned prophets if it allegedly arose afterwards?</w:t>
      </w:r>
      <w:r w:rsidRPr="00E54204">
        <w:rPr>
          <w:rFonts w:cs="Times New Roman"/>
          <w:bCs/>
          <w:szCs w:val="20"/>
          <w:vertAlign w:val="superscript"/>
          <w:lang w:bidi="he-IL"/>
        </w:rPr>
        <w:footnoteReference w:id="142"/>
      </w:r>
      <w:r w:rsidRPr="00E54204">
        <w:rPr>
          <w:rFonts w:cs="Times New Roman"/>
          <w:bCs/>
          <w:szCs w:val="20"/>
          <w:lang w:bidi="he-IL"/>
        </w:rPr>
        <w:t xml:space="preserve">  There does not appear to be a straightforward answer.  </w:t>
      </w:r>
      <w:r w:rsidR="00E32582" w:rsidRPr="00E54204">
        <w:rPr>
          <w:rFonts w:cs="Times New Roman"/>
          <w:bCs/>
          <w:szCs w:val="20"/>
          <w:lang w:bidi="he-IL"/>
        </w:rPr>
        <w:t>Furthermore, i</w:t>
      </w:r>
      <w:r w:rsidRPr="00E54204">
        <w:rPr>
          <w:rFonts w:cs="Times New Roman"/>
          <w:bCs/>
          <w:szCs w:val="20"/>
          <w:lang w:bidi="he-IL"/>
        </w:rPr>
        <w:t>t is clear that</w:t>
      </w:r>
      <w:r w:rsidR="00E32582" w:rsidRPr="00E54204">
        <w:rPr>
          <w:rFonts w:cs="Times New Roman"/>
          <w:bCs/>
          <w:szCs w:val="20"/>
          <w:lang w:bidi="he-IL"/>
        </w:rPr>
        <w:t xml:space="preserve"> this view was not</w:t>
      </w:r>
      <w:r w:rsidR="0061101E" w:rsidRPr="00E54204">
        <w:rPr>
          <w:rFonts w:cs="Times New Roman"/>
          <w:bCs/>
          <w:szCs w:val="20"/>
          <w:lang w:bidi="he-IL"/>
        </w:rPr>
        <w:t xml:space="preserve"> unanimou</w:t>
      </w:r>
      <w:r w:rsidR="00E32582" w:rsidRPr="00E54204">
        <w:rPr>
          <w:rFonts w:cs="Times New Roman"/>
          <w:bCs/>
          <w:szCs w:val="20"/>
          <w:lang w:bidi="he-IL"/>
        </w:rPr>
        <w:t xml:space="preserve">s </w:t>
      </w:r>
      <w:r w:rsidR="0061101E" w:rsidRPr="00E54204">
        <w:rPr>
          <w:rFonts w:cs="Times New Roman"/>
          <w:bCs/>
          <w:szCs w:val="20"/>
          <w:lang w:bidi="he-IL"/>
        </w:rPr>
        <w:t>among</w:t>
      </w:r>
      <w:r w:rsidRPr="00E54204">
        <w:rPr>
          <w:rFonts w:cs="Times New Roman"/>
          <w:bCs/>
          <w:szCs w:val="20"/>
          <w:lang w:bidi="he-IL"/>
        </w:rPr>
        <w:t xml:space="preserve"> the sages.  A possible harmonization is to read this statement not as </w:t>
      </w:r>
      <w:r w:rsidRPr="00E54204">
        <w:rPr>
          <w:rFonts w:cs="Times New Roman"/>
          <w:bCs/>
          <w:i/>
          <w:szCs w:val="20"/>
          <w:lang w:bidi="he-IL"/>
        </w:rPr>
        <w:t>prescriptive</w:t>
      </w:r>
      <w:r w:rsidRPr="00E54204">
        <w:rPr>
          <w:rFonts w:cs="Times New Roman"/>
          <w:bCs/>
          <w:szCs w:val="20"/>
          <w:lang w:bidi="he-IL"/>
        </w:rPr>
        <w:t xml:space="preserve"> but </w:t>
      </w:r>
      <w:r w:rsidRPr="00E54204">
        <w:rPr>
          <w:rFonts w:cs="Times New Roman"/>
          <w:bCs/>
          <w:i/>
          <w:szCs w:val="20"/>
          <w:lang w:bidi="he-IL"/>
        </w:rPr>
        <w:t>descriptive</w:t>
      </w:r>
      <w:r w:rsidRPr="00E54204">
        <w:rPr>
          <w:rFonts w:cs="Times New Roman"/>
          <w:bCs/>
          <w:szCs w:val="20"/>
          <w:lang w:bidi="he-IL"/>
        </w:rPr>
        <w:t xml:space="preserve">.  In other words the rabbis were perhaps emphasizing what they reckoned to be the more pervasive form </w:t>
      </w:r>
      <w:r w:rsidRPr="00E54204">
        <w:rPr>
          <w:rFonts w:cs="Times New Roman"/>
          <w:bCs/>
          <w:szCs w:val="20"/>
          <w:lang w:bidi="he-IL"/>
        </w:rPr>
        <w:lastRenderedPageBreak/>
        <w:t>o</w:t>
      </w:r>
      <w:r w:rsidR="0061101E" w:rsidRPr="00E54204">
        <w:rPr>
          <w:rFonts w:cs="Times New Roman"/>
          <w:bCs/>
          <w:szCs w:val="20"/>
          <w:lang w:bidi="he-IL"/>
        </w:rPr>
        <w:t>f revelation.  This</w:t>
      </w:r>
      <w:r w:rsidRPr="00E54204">
        <w:rPr>
          <w:rFonts w:cs="Times New Roman"/>
          <w:bCs/>
          <w:szCs w:val="20"/>
          <w:lang w:bidi="he-IL"/>
        </w:rPr>
        <w:t xml:space="preserve"> popular method of divine manifestation was the less authoritative “daughter of a voice” and not the Holy Spirit or Spirit of prophecy.</w:t>
      </w:r>
      <w:r w:rsidRPr="00E54204">
        <w:rPr>
          <w:rFonts w:cs="Times New Roman"/>
          <w:bCs/>
          <w:szCs w:val="20"/>
          <w:vertAlign w:val="superscript"/>
          <w:lang w:bidi="he-IL"/>
        </w:rPr>
        <w:footnoteReference w:id="143"/>
      </w:r>
      <w:r w:rsidRPr="00E54204">
        <w:rPr>
          <w:rFonts w:cs="Times New Roman"/>
          <w:bCs/>
          <w:szCs w:val="20"/>
          <w:lang w:bidi="he-IL"/>
        </w:rPr>
        <w:t xml:space="preserve"> </w:t>
      </w:r>
    </w:p>
    <w:p w14:paraId="65285FD5" w14:textId="77777777" w:rsidR="00AA1903" w:rsidRPr="00E54204" w:rsidRDefault="00AA1903" w:rsidP="00AA1903">
      <w:pPr>
        <w:spacing w:after="160"/>
        <w:rPr>
          <w:rFonts w:cs="Times New Roman"/>
          <w:bCs/>
          <w:szCs w:val="20"/>
          <w:lang w:bidi="he-IL"/>
        </w:rPr>
      </w:pPr>
      <w:r w:rsidRPr="00E54204">
        <w:rPr>
          <w:rFonts w:cs="Times New Roman"/>
          <w:bCs/>
          <w:szCs w:val="20"/>
          <w:lang w:bidi="he-IL"/>
        </w:rPr>
        <w:t xml:space="preserve"> </w:t>
      </w:r>
      <w:r w:rsidR="004D6D82" w:rsidRPr="00E54204">
        <w:rPr>
          <w:rFonts w:cs="Times New Roman"/>
          <w:bCs/>
          <w:szCs w:val="20"/>
          <w:lang w:bidi="he-IL"/>
        </w:rPr>
        <w:tab/>
      </w:r>
      <w:r w:rsidRPr="00E54204">
        <w:rPr>
          <w:rFonts w:cs="Times New Roman"/>
          <w:bCs/>
          <w:szCs w:val="20"/>
          <w:lang w:bidi="he-IL"/>
        </w:rPr>
        <w:t>Nevertheless, scholars have suggested that prophecy did not actually “cease” as the statement implies, rather it is better conceived as having experienced a significant shift in terms of the character and mode of revelation.</w:t>
      </w:r>
      <w:r w:rsidRPr="00E54204">
        <w:rPr>
          <w:rFonts w:cs="Times New Roman"/>
          <w:bCs/>
          <w:szCs w:val="20"/>
          <w:vertAlign w:val="superscript"/>
          <w:lang w:bidi="he-IL"/>
        </w:rPr>
        <w:footnoteReference w:id="144"/>
      </w:r>
      <w:r w:rsidRPr="00E54204">
        <w:rPr>
          <w:rFonts w:cs="Times New Roman"/>
          <w:bCs/>
          <w:szCs w:val="20"/>
          <w:lang w:bidi="he-IL"/>
        </w:rPr>
        <w:t xml:space="preserve">  Stephen L. Cook thus made the following observation: “Jewish literature of the Second Temple period </w:t>
      </w:r>
      <w:r w:rsidR="0072643C" w:rsidRPr="00E54204">
        <w:rPr>
          <w:rFonts w:cs="Times New Roman"/>
          <w:bCs/>
          <w:szCs w:val="20"/>
          <w:lang w:bidi="he-IL"/>
        </w:rPr>
        <w:t>picks u</w:t>
      </w:r>
      <w:r w:rsidR="00FC5D21" w:rsidRPr="00E54204">
        <w:rPr>
          <w:rFonts w:cs="Times New Roman"/>
          <w:bCs/>
          <w:szCs w:val="20"/>
          <w:lang w:bidi="he-IL"/>
        </w:rPr>
        <w:t>p on the concept of the “degree”</w:t>
      </w:r>
      <w:r w:rsidRPr="00E54204">
        <w:rPr>
          <w:rFonts w:cs="Times New Roman"/>
          <w:bCs/>
          <w:szCs w:val="20"/>
          <w:lang w:bidi="he-IL"/>
        </w:rPr>
        <w:t xml:space="preserve"> of prophecy with its affi</w:t>
      </w:r>
      <w:r w:rsidR="0072643C" w:rsidRPr="00E54204">
        <w:rPr>
          <w:rFonts w:cs="Times New Roman"/>
          <w:bCs/>
          <w:szCs w:val="20"/>
          <w:lang w:bidi="he-IL"/>
        </w:rPr>
        <w:t>rmation that other, lower form</w:t>
      </w:r>
      <w:r w:rsidRPr="00E54204">
        <w:rPr>
          <w:rFonts w:cs="Times New Roman"/>
          <w:bCs/>
          <w:szCs w:val="20"/>
          <w:lang w:bidi="he-IL"/>
        </w:rPr>
        <w:t>s of revelation also exist in addition to prophecy.”</w:t>
      </w:r>
      <w:r w:rsidRPr="00E54204">
        <w:rPr>
          <w:rFonts w:cs="Times New Roman"/>
          <w:bCs/>
          <w:szCs w:val="20"/>
          <w:vertAlign w:val="superscript"/>
          <w:lang w:bidi="he-IL"/>
        </w:rPr>
        <w:footnoteReference w:id="145"/>
      </w:r>
      <w:r w:rsidRPr="00E54204">
        <w:rPr>
          <w:rFonts w:cs="Times New Roman"/>
          <w:bCs/>
          <w:szCs w:val="20"/>
          <w:lang w:bidi="he-IL"/>
        </w:rPr>
        <w:t xml:space="preserve">  Prophets were active and the Holy Spirit was integral to the vib</w:t>
      </w:r>
      <w:r w:rsidR="005F1A83" w:rsidRPr="00E54204">
        <w:rPr>
          <w:rFonts w:cs="Times New Roman"/>
          <w:bCs/>
          <w:szCs w:val="20"/>
          <w:lang w:bidi="he-IL"/>
        </w:rPr>
        <w:t>rancy of various religious groups such as the Christians and Qumran community, not to mention the rabbis themselves</w:t>
      </w:r>
      <w:r w:rsidRPr="00E54204">
        <w:rPr>
          <w:rFonts w:cs="Times New Roman"/>
          <w:bCs/>
          <w:szCs w:val="20"/>
          <w:lang w:bidi="he-IL"/>
        </w:rPr>
        <w:t>.</w:t>
      </w:r>
    </w:p>
    <w:p w14:paraId="58F15268" w14:textId="77777777" w:rsidR="00AA1903" w:rsidRPr="00E54204" w:rsidRDefault="00AA1903" w:rsidP="00C36948">
      <w:pPr>
        <w:ind w:firstLine="720"/>
        <w:rPr>
          <w:rFonts w:cs="Times New Roman"/>
          <w:bCs/>
          <w:szCs w:val="20"/>
          <w:lang w:bidi="he-IL"/>
        </w:rPr>
      </w:pPr>
      <w:r w:rsidRPr="00E54204">
        <w:rPr>
          <w:rFonts w:cs="Times New Roman"/>
          <w:bCs/>
          <w:szCs w:val="20"/>
          <w:lang w:bidi="he-IL"/>
        </w:rPr>
        <w:t>Another possible explanation is that the rabbis sought exclusive authority to exert their influence and teachings without having to deal with the claims of rival charismatic groups.  Thus, they neatly contrived the Holy Spirit as having departed by the latter part of the Second Temple period.  The fact that in several passages prophets are denied the right to make legal decisions</w:t>
      </w:r>
      <w:r w:rsidRPr="00E54204">
        <w:rPr>
          <w:rFonts w:cs="Times New Roman"/>
          <w:bCs/>
          <w:szCs w:val="20"/>
          <w:vertAlign w:val="superscript"/>
          <w:lang w:bidi="he-IL"/>
        </w:rPr>
        <w:footnoteReference w:id="146"/>
      </w:r>
      <w:r w:rsidRPr="00E54204">
        <w:rPr>
          <w:rFonts w:cs="Times New Roman"/>
          <w:bCs/>
          <w:szCs w:val="20"/>
          <w:lang w:bidi="he-IL"/>
        </w:rPr>
        <w:t xml:space="preserve"> seems to fit this paradigm.  Furthermore, if prophets were no longer around, why would there be a perceived need to limit their legal decision-</w:t>
      </w:r>
      <w:r w:rsidRPr="00E54204">
        <w:rPr>
          <w:rFonts w:cs="Times New Roman"/>
          <w:bCs/>
          <w:szCs w:val="20"/>
          <w:lang w:bidi="he-IL"/>
        </w:rPr>
        <w:lastRenderedPageBreak/>
        <w:t>making powers?  We find the following peculiar statement in the Babylonian Talmud: “In the words of R. Abdimi: Since the destruction of the Temple, prophecy has been taken from the prophets and given to the sages.”</w:t>
      </w:r>
      <w:r w:rsidRPr="00E54204">
        <w:rPr>
          <w:rFonts w:cs="Times New Roman"/>
          <w:bCs/>
          <w:szCs w:val="20"/>
          <w:vertAlign w:val="superscript"/>
          <w:lang w:bidi="he-IL"/>
        </w:rPr>
        <w:footnoteReference w:id="147"/>
      </w:r>
      <w:r w:rsidRPr="00E54204">
        <w:rPr>
          <w:rFonts w:cs="Times New Roman"/>
          <w:bCs/>
          <w:szCs w:val="20"/>
          <w:lang w:bidi="he-IL"/>
        </w:rPr>
        <w:t xml:space="preserve">  According to this state</w:t>
      </w:r>
      <w:r w:rsidR="00E66408" w:rsidRPr="00E54204">
        <w:rPr>
          <w:rFonts w:cs="Times New Roman"/>
          <w:bCs/>
          <w:szCs w:val="20"/>
          <w:lang w:bidi="he-IL"/>
        </w:rPr>
        <w:t>ment</w:t>
      </w:r>
      <w:r w:rsidR="00C36948" w:rsidRPr="00E54204">
        <w:rPr>
          <w:rFonts w:cs="Times New Roman"/>
          <w:bCs/>
          <w:szCs w:val="20"/>
          <w:lang w:bidi="he-IL"/>
        </w:rPr>
        <w:t>,</w:t>
      </w:r>
      <w:r w:rsidR="00E66408" w:rsidRPr="00E54204">
        <w:rPr>
          <w:rFonts w:cs="Times New Roman"/>
          <w:bCs/>
          <w:szCs w:val="20"/>
          <w:lang w:bidi="he-IL"/>
        </w:rPr>
        <w:t xml:space="preserve"> the sages were the bonafide</w:t>
      </w:r>
      <w:r w:rsidRPr="00E54204">
        <w:rPr>
          <w:rFonts w:cs="Times New Roman"/>
          <w:bCs/>
          <w:szCs w:val="20"/>
          <w:lang w:bidi="he-IL"/>
        </w:rPr>
        <w:t xml:space="preserve"> leaders and judges in matters of prophecy/revelation.  Frederick Greenspahn elaborates:</w:t>
      </w:r>
    </w:p>
    <w:p w14:paraId="3CF34C6E" w14:textId="77777777" w:rsidR="00AA1903" w:rsidRPr="00E54204" w:rsidRDefault="00AA1903" w:rsidP="00C36948">
      <w:pPr>
        <w:spacing w:line="240" w:lineRule="auto"/>
        <w:rPr>
          <w:rFonts w:cs="Times New Roman"/>
          <w:bCs/>
          <w:szCs w:val="20"/>
          <w:lang w:bidi="he-IL"/>
        </w:rPr>
      </w:pPr>
      <w:r w:rsidRPr="00E54204">
        <w:rPr>
          <w:rFonts w:cs="Times New Roman"/>
          <w:bCs/>
          <w:szCs w:val="20"/>
          <w:lang w:bidi="he-IL"/>
        </w:rPr>
        <w:t>Judaism probably could not have survived in any other way. Temporal authorities were unlikely to tolerate those claiming divine sanction for what were perceived as revolutionary activities, just as the rabbis could hardly tolerate a rival vision of God's message. The claim that the Holy Spirit was no longer operative removed a very real threat to rabbinic authority, both in principle, since the rabbis did not claim direct contact with God, and in practice, given the reality of others who did.</w:t>
      </w:r>
      <w:r w:rsidRPr="00E54204">
        <w:rPr>
          <w:rFonts w:cs="Times New Roman"/>
          <w:bCs/>
          <w:szCs w:val="20"/>
          <w:vertAlign w:val="superscript"/>
          <w:lang w:bidi="he-IL"/>
        </w:rPr>
        <w:footnoteReference w:id="148"/>
      </w:r>
    </w:p>
    <w:p w14:paraId="5CC7D9F9" w14:textId="77777777" w:rsidR="00C36948" w:rsidRPr="00E54204" w:rsidRDefault="00C36948" w:rsidP="00C36948">
      <w:pPr>
        <w:spacing w:line="240" w:lineRule="auto"/>
        <w:rPr>
          <w:rFonts w:cs="Times New Roman"/>
          <w:bCs/>
          <w:szCs w:val="20"/>
          <w:lang w:bidi="he-IL"/>
        </w:rPr>
      </w:pPr>
    </w:p>
    <w:p w14:paraId="7A020044" w14:textId="77777777" w:rsidR="00AA1903" w:rsidRPr="00E54204" w:rsidRDefault="00AA1903" w:rsidP="00AA1903">
      <w:pPr>
        <w:spacing w:after="160"/>
        <w:rPr>
          <w:rFonts w:cs="Times New Roman"/>
          <w:bCs/>
          <w:szCs w:val="20"/>
          <w:lang w:bidi="he-IL"/>
        </w:rPr>
      </w:pPr>
      <w:r w:rsidRPr="00E54204">
        <w:rPr>
          <w:rFonts w:cs="Times New Roman"/>
          <w:bCs/>
          <w:szCs w:val="20"/>
          <w:lang w:bidi="he-IL"/>
        </w:rPr>
        <w:t xml:space="preserve">It could very well be, that the </w:t>
      </w:r>
      <w:r w:rsidRPr="00E54204">
        <w:rPr>
          <w:rFonts w:cs="Times New Roman"/>
          <w:bCs/>
          <w:i/>
          <w:szCs w:val="20"/>
          <w:lang w:bidi="he-IL"/>
        </w:rPr>
        <w:t xml:space="preserve">bat kol </w:t>
      </w:r>
      <w:r w:rsidRPr="00E54204">
        <w:rPr>
          <w:rFonts w:cs="Times New Roman"/>
          <w:bCs/>
          <w:szCs w:val="20"/>
          <w:lang w:bidi="he-IL"/>
        </w:rPr>
        <w:t>was “selected” as God’s supernatural agent in lieu of the Ho</w:t>
      </w:r>
      <w:r w:rsidR="00FE513E" w:rsidRPr="00E54204">
        <w:rPr>
          <w:rFonts w:cs="Times New Roman"/>
          <w:bCs/>
          <w:szCs w:val="20"/>
          <w:lang w:bidi="he-IL"/>
        </w:rPr>
        <w:t>ly Spirit’s perceived absence</w:t>
      </w:r>
      <w:r w:rsidRPr="00E54204">
        <w:rPr>
          <w:rFonts w:cs="Times New Roman"/>
          <w:bCs/>
          <w:szCs w:val="20"/>
          <w:lang w:bidi="he-IL"/>
        </w:rPr>
        <w:t xml:space="preserve">.  This position was put forth by Ephraim Urbach who suggested this assertion by the rabbis may </w:t>
      </w:r>
      <w:r w:rsidR="00E66408" w:rsidRPr="00E54204">
        <w:rPr>
          <w:rFonts w:cs="Times New Roman"/>
          <w:bCs/>
          <w:szCs w:val="20"/>
          <w:lang w:bidi="he-IL"/>
        </w:rPr>
        <w:t>be a rebuttal to the claim</w:t>
      </w:r>
      <w:r w:rsidRPr="00E54204">
        <w:rPr>
          <w:rFonts w:cs="Times New Roman"/>
          <w:bCs/>
          <w:szCs w:val="20"/>
          <w:lang w:bidi="he-IL"/>
        </w:rPr>
        <w:t xml:space="preserve"> of several church fathers of the removal of the Holy Spirit.</w:t>
      </w:r>
      <w:r w:rsidRPr="00E54204">
        <w:rPr>
          <w:rFonts w:cs="Times New Roman"/>
          <w:bCs/>
          <w:szCs w:val="20"/>
          <w:vertAlign w:val="superscript"/>
          <w:lang w:bidi="he-IL"/>
        </w:rPr>
        <w:footnoteReference w:id="149"/>
      </w:r>
      <w:r w:rsidRPr="00E54204">
        <w:rPr>
          <w:rFonts w:cs="Times New Roman"/>
          <w:bCs/>
          <w:szCs w:val="20"/>
          <w:lang w:bidi="he-IL"/>
        </w:rPr>
        <w:t xml:space="preserve">  However, even prior to the advent of schismatic groups like Christianity, the rabbis, according to Greenspahn, “sensed something about the Hellenistic period…which led them to conclude that the Holy Spirit had departed from Israel.”</w:t>
      </w:r>
      <w:r w:rsidRPr="00E54204">
        <w:rPr>
          <w:rFonts w:cs="Times New Roman"/>
          <w:bCs/>
          <w:szCs w:val="20"/>
          <w:vertAlign w:val="superscript"/>
          <w:lang w:bidi="he-IL"/>
        </w:rPr>
        <w:footnoteReference w:id="150"/>
      </w:r>
      <w:r w:rsidR="00DD762C" w:rsidRPr="00E54204">
        <w:rPr>
          <w:rFonts w:cs="Times New Roman"/>
          <w:bCs/>
          <w:szCs w:val="20"/>
          <w:lang w:bidi="he-IL"/>
        </w:rPr>
        <w:t xml:space="preserve">  It is unclear</w:t>
      </w:r>
      <w:r w:rsidRPr="00E54204">
        <w:rPr>
          <w:rFonts w:cs="Times New Roman"/>
          <w:bCs/>
          <w:szCs w:val="20"/>
          <w:lang w:bidi="he-IL"/>
        </w:rPr>
        <w:t xml:space="preserve"> what precisely</w:t>
      </w:r>
      <w:r w:rsidR="00DD762C" w:rsidRPr="00E54204">
        <w:rPr>
          <w:rFonts w:cs="Times New Roman"/>
          <w:bCs/>
          <w:szCs w:val="20"/>
          <w:lang w:bidi="he-IL"/>
        </w:rPr>
        <w:t xml:space="preserve"> Greenspahn is referring to</w:t>
      </w:r>
      <w:r w:rsidR="00B777E4" w:rsidRPr="00E54204">
        <w:rPr>
          <w:rFonts w:cs="Times New Roman"/>
          <w:bCs/>
          <w:szCs w:val="20"/>
          <w:lang w:bidi="he-IL"/>
        </w:rPr>
        <w:t xml:space="preserve"> in</w:t>
      </w:r>
      <w:r w:rsidR="00DD762C" w:rsidRPr="00E54204">
        <w:rPr>
          <w:rFonts w:cs="Times New Roman"/>
          <w:bCs/>
          <w:szCs w:val="20"/>
          <w:lang w:bidi="he-IL"/>
        </w:rPr>
        <w:t xml:space="preserve"> his commentary on the rabbis discerning the withdrawal of the Holy Spirit during the </w:t>
      </w:r>
      <w:r w:rsidR="00DD762C" w:rsidRPr="00E54204">
        <w:rPr>
          <w:rFonts w:cs="Times New Roman"/>
          <w:bCs/>
          <w:szCs w:val="20"/>
          <w:lang w:bidi="he-IL"/>
        </w:rPr>
        <w:lastRenderedPageBreak/>
        <w:t xml:space="preserve">Hellenistic period, </w:t>
      </w:r>
      <w:r w:rsidRPr="00E54204">
        <w:rPr>
          <w:rFonts w:cs="Times New Roman"/>
          <w:bCs/>
          <w:szCs w:val="20"/>
          <w:lang w:bidi="he-IL"/>
        </w:rPr>
        <w:t>especially since the Jews were dealt</w:t>
      </w:r>
      <w:r w:rsidR="0072643C" w:rsidRPr="00E54204">
        <w:rPr>
          <w:rFonts w:cs="Times New Roman"/>
          <w:bCs/>
          <w:szCs w:val="20"/>
          <w:lang w:bidi="he-IL"/>
        </w:rPr>
        <w:t xml:space="preserve"> with</w:t>
      </w:r>
      <w:r w:rsidRPr="00E54204">
        <w:rPr>
          <w:rFonts w:cs="Times New Roman"/>
          <w:bCs/>
          <w:szCs w:val="20"/>
          <w:lang w:bidi="he-IL"/>
        </w:rPr>
        <w:t xml:space="preserve"> favorably by the Macedonian ruler.</w:t>
      </w:r>
      <w:r w:rsidRPr="00E54204">
        <w:rPr>
          <w:rFonts w:cs="Times New Roman"/>
          <w:bCs/>
          <w:szCs w:val="20"/>
          <w:vertAlign w:val="superscript"/>
          <w:lang w:bidi="he-IL"/>
        </w:rPr>
        <w:footnoteReference w:id="151"/>
      </w:r>
      <w:r w:rsidRPr="00E54204">
        <w:rPr>
          <w:rFonts w:cs="Times New Roman"/>
          <w:bCs/>
          <w:szCs w:val="20"/>
          <w:lang w:bidi="he-IL"/>
        </w:rPr>
        <w:t xml:space="preserve"> </w:t>
      </w:r>
    </w:p>
    <w:p w14:paraId="39D1369A" w14:textId="77777777" w:rsidR="00AA1903" w:rsidRPr="00E54204" w:rsidRDefault="00AA1903" w:rsidP="00AA1903">
      <w:pPr>
        <w:spacing w:after="160"/>
        <w:rPr>
          <w:rFonts w:cs="Times New Roman"/>
          <w:bCs/>
          <w:szCs w:val="20"/>
          <w:lang w:bidi="he-IL"/>
        </w:rPr>
      </w:pPr>
      <w:r w:rsidRPr="00E54204">
        <w:rPr>
          <w:rFonts w:cs="Times New Roman"/>
          <w:bCs/>
          <w:szCs w:val="20"/>
          <w:lang w:bidi="he-IL"/>
        </w:rPr>
        <w:t xml:space="preserve"> </w:t>
      </w:r>
      <w:r w:rsidR="004D6D82" w:rsidRPr="00E54204">
        <w:rPr>
          <w:rFonts w:cs="Times New Roman"/>
          <w:bCs/>
          <w:szCs w:val="20"/>
          <w:lang w:bidi="he-IL"/>
        </w:rPr>
        <w:tab/>
      </w:r>
      <w:r w:rsidRPr="00E54204">
        <w:rPr>
          <w:rFonts w:cs="Times New Roman"/>
          <w:bCs/>
          <w:szCs w:val="20"/>
          <w:lang w:bidi="he-IL"/>
        </w:rPr>
        <w:t xml:space="preserve">The rabbis’ advocacy for the cessation of normative prophecy and for the rise of the </w:t>
      </w:r>
      <w:r w:rsidRPr="00E54204">
        <w:rPr>
          <w:rFonts w:cs="Times New Roman"/>
          <w:bCs/>
          <w:i/>
          <w:szCs w:val="20"/>
          <w:lang w:bidi="he-IL"/>
        </w:rPr>
        <w:t>bat kol</w:t>
      </w:r>
      <w:r w:rsidRPr="00E54204">
        <w:rPr>
          <w:rFonts w:cs="Times New Roman"/>
          <w:bCs/>
          <w:szCs w:val="20"/>
          <w:lang w:bidi="he-IL"/>
        </w:rPr>
        <w:t xml:space="preserve"> may have</w:t>
      </w:r>
      <w:r w:rsidR="00AF612B" w:rsidRPr="00E54204">
        <w:rPr>
          <w:rFonts w:cs="Times New Roman"/>
          <w:bCs/>
          <w:szCs w:val="20"/>
          <w:lang w:bidi="he-IL"/>
        </w:rPr>
        <w:t xml:space="preserve"> been an effort to</w:t>
      </w:r>
      <w:r w:rsidRPr="00E54204">
        <w:rPr>
          <w:rFonts w:cs="Times New Roman"/>
          <w:bCs/>
          <w:szCs w:val="20"/>
          <w:lang w:bidi="he-IL"/>
        </w:rPr>
        <w:t xml:space="preserve"> preserve </w:t>
      </w:r>
      <w:r w:rsidR="00580086" w:rsidRPr="00E54204">
        <w:rPr>
          <w:rFonts w:cs="Times New Roman"/>
          <w:bCs/>
          <w:szCs w:val="20"/>
          <w:lang w:bidi="he-IL"/>
        </w:rPr>
        <w:t>their way of life and teachings</w:t>
      </w:r>
      <w:r w:rsidRPr="00E54204">
        <w:rPr>
          <w:rFonts w:cs="Times New Roman"/>
          <w:bCs/>
          <w:szCs w:val="20"/>
          <w:lang w:bidi="he-IL"/>
        </w:rPr>
        <w:t xml:space="preserve"> in light of competing sects.</w:t>
      </w:r>
      <w:r w:rsidR="00091157" w:rsidRPr="00E54204">
        <w:rPr>
          <w:rFonts w:cs="Times New Roman"/>
          <w:bCs/>
          <w:szCs w:val="20"/>
          <w:lang w:bidi="he-IL"/>
        </w:rPr>
        <w:t xml:space="preserve"> </w:t>
      </w:r>
      <w:r w:rsidRPr="00E54204">
        <w:rPr>
          <w:rFonts w:cs="Times New Roman"/>
          <w:bCs/>
          <w:szCs w:val="20"/>
          <w:lang w:bidi="he-IL"/>
        </w:rPr>
        <w:t xml:space="preserve"> Moreover, this understanding may explain why the </w:t>
      </w:r>
      <w:r w:rsidRPr="00E54204">
        <w:rPr>
          <w:rFonts w:cs="Times New Roman"/>
          <w:bCs/>
          <w:i/>
          <w:szCs w:val="20"/>
          <w:lang w:bidi="he-IL"/>
        </w:rPr>
        <w:t>bat kol</w:t>
      </w:r>
      <w:r w:rsidRPr="00E54204">
        <w:rPr>
          <w:rFonts w:cs="Times New Roman"/>
          <w:bCs/>
          <w:szCs w:val="20"/>
          <w:lang w:bidi="he-IL"/>
        </w:rPr>
        <w:t xml:space="preserve"> is conferred a secondary-status so to speak in terms of revelation, and is primarily a non-factor in terms of influencing legal-rulings (</w:t>
      </w:r>
      <w:r w:rsidR="00EF69C7" w:rsidRPr="00E54204">
        <w:rPr>
          <w:rFonts w:cs="Times New Roman"/>
          <w:bCs/>
          <w:i/>
          <w:szCs w:val="20"/>
          <w:lang w:bidi="he-IL"/>
        </w:rPr>
        <w:t>Halac</w:t>
      </w:r>
      <w:r w:rsidRPr="00E54204">
        <w:rPr>
          <w:rFonts w:cs="Times New Roman"/>
          <w:bCs/>
          <w:i/>
          <w:szCs w:val="20"/>
          <w:lang w:bidi="he-IL"/>
        </w:rPr>
        <w:t>ha</w:t>
      </w:r>
      <w:r w:rsidRPr="00E54204">
        <w:rPr>
          <w:rFonts w:cs="Times New Roman"/>
          <w:bCs/>
          <w:szCs w:val="20"/>
          <w:lang w:bidi="he-IL"/>
        </w:rPr>
        <w:t>).</w:t>
      </w:r>
      <w:r w:rsidRPr="00E54204">
        <w:rPr>
          <w:rFonts w:cs="Times New Roman"/>
          <w:bCs/>
          <w:szCs w:val="20"/>
          <w:vertAlign w:val="superscript"/>
          <w:lang w:bidi="he-IL"/>
        </w:rPr>
        <w:footnoteReference w:id="152"/>
      </w:r>
      <w:r w:rsidRPr="00E54204">
        <w:rPr>
          <w:rFonts w:cs="Times New Roman"/>
          <w:bCs/>
          <w:szCs w:val="20"/>
          <w:lang w:bidi="he-IL"/>
        </w:rPr>
        <w:t xml:space="preserve">  Thus if a majority </w:t>
      </w:r>
      <w:r w:rsidR="00E342A2" w:rsidRPr="00E54204">
        <w:rPr>
          <w:rFonts w:cs="Times New Roman"/>
          <w:bCs/>
          <w:szCs w:val="20"/>
          <w:lang w:bidi="he-IL"/>
        </w:rPr>
        <w:t>rabbinic view subscribed to the</w:t>
      </w:r>
      <w:r w:rsidRPr="00E54204">
        <w:rPr>
          <w:rFonts w:cs="Times New Roman"/>
          <w:bCs/>
          <w:szCs w:val="20"/>
          <w:lang w:bidi="he-IL"/>
        </w:rPr>
        <w:t xml:space="preserve"> position that prophecy had ceased,</w:t>
      </w:r>
      <w:r w:rsidR="008F1F12" w:rsidRPr="00E54204">
        <w:rPr>
          <w:rFonts w:cs="Times New Roman"/>
          <w:bCs/>
          <w:szCs w:val="20"/>
          <w:lang w:bidi="he-IL"/>
        </w:rPr>
        <w:t xml:space="preserve"> </w:t>
      </w:r>
      <w:r w:rsidRPr="00E54204">
        <w:rPr>
          <w:rFonts w:cs="Times New Roman"/>
          <w:bCs/>
          <w:szCs w:val="20"/>
          <w:lang w:bidi="he-IL"/>
        </w:rPr>
        <w:t xml:space="preserve">this train of thought may be a major reason for the popularity of the </w:t>
      </w:r>
      <w:r w:rsidRPr="00E54204">
        <w:rPr>
          <w:rFonts w:cs="Times New Roman"/>
          <w:bCs/>
          <w:i/>
          <w:szCs w:val="20"/>
          <w:lang w:bidi="he-IL"/>
        </w:rPr>
        <w:t>bat kol</w:t>
      </w:r>
      <w:r w:rsidRPr="00E54204">
        <w:rPr>
          <w:rFonts w:cs="Times New Roman"/>
          <w:bCs/>
          <w:szCs w:val="20"/>
          <w:lang w:bidi="he-IL"/>
        </w:rPr>
        <w:t>.</w:t>
      </w:r>
    </w:p>
    <w:p w14:paraId="2A287C33" w14:textId="77777777" w:rsidR="00AA1903" w:rsidRPr="00E54204" w:rsidRDefault="00AA1903" w:rsidP="004D6D82">
      <w:pPr>
        <w:spacing w:after="160"/>
        <w:ind w:firstLine="720"/>
        <w:rPr>
          <w:rFonts w:cs="Times New Roman"/>
          <w:bCs/>
          <w:szCs w:val="20"/>
          <w:lang w:bidi="he-IL"/>
        </w:rPr>
      </w:pPr>
      <w:r w:rsidRPr="00E54204">
        <w:rPr>
          <w:rFonts w:cs="Times New Roman"/>
          <w:bCs/>
          <w:szCs w:val="20"/>
          <w:lang w:bidi="he-IL"/>
        </w:rPr>
        <w:t>In summary, we discover that both the rabbinica</w:t>
      </w:r>
      <w:r w:rsidR="009B352E" w:rsidRPr="00E54204">
        <w:rPr>
          <w:rFonts w:cs="Times New Roman"/>
          <w:bCs/>
          <w:szCs w:val="20"/>
          <w:lang w:bidi="he-IL"/>
        </w:rPr>
        <w:t>l corpus and other Second Temple</w:t>
      </w:r>
      <w:r w:rsidRPr="00E54204">
        <w:rPr>
          <w:rFonts w:cs="Times New Roman"/>
          <w:bCs/>
          <w:szCs w:val="20"/>
          <w:lang w:bidi="he-IL"/>
        </w:rPr>
        <w:t xml:space="preserve"> texts attribute an “end” of prophecy with the last of the Biblical prophets.  However, this did not imply that revelatory experiences were non-existent nor that the Holy Spirit’s prophetic activity had completely </w:t>
      </w:r>
      <w:r w:rsidR="00E342A2" w:rsidRPr="00E54204">
        <w:rPr>
          <w:rFonts w:cs="Times New Roman"/>
          <w:bCs/>
          <w:szCs w:val="20"/>
          <w:lang w:bidi="he-IL"/>
        </w:rPr>
        <w:t>withdrawn.  The so-called</w:t>
      </w:r>
      <w:r w:rsidRPr="00E54204">
        <w:rPr>
          <w:rFonts w:cs="Times New Roman"/>
          <w:bCs/>
          <w:szCs w:val="20"/>
          <w:lang w:bidi="he-IL"/>
        </w:rPr>
        <w:t xml:space="preserve"> “end” of prophecy raises questions that ar</w:t>
      </w:r>
      <w:r w:rsidR="00E342A2" w:rsidRPr="00E54204">
        <w:rPr>
          <w:rFonts w:cs="Times New Roman"/>
          <w:bCs/>
          <w:szCs w:val="20"/>
          <w:lang w:bidi="he-IL"/>
        </w:rPr>
        <w:t>e connected to the</w:t>
      </w:r>
      <w:r w:rsidRPr="00E54204">
        <w:rPr>
          <w:rFonts w:cs="Times New Roman"/>
          <w:bCs/>
          <w:szCs w:val="20"/>
          <w:lang w:bidi="he-IL"/>
        </w:rPr>
        <w:t xml:space="preserve"> </w:t>
      </w:r>
      <w:r w:rsidR="004D6D82" w:rsidRPr="00E54204">
        <w:rPr>
          <w:rFonts w:cs="Times New Roman"/>
          <w:bCs/>
          <w:i/>
          <w:szCs w:val="20"/>
          <w:lang w:bidi="he-IL"/>
        </w:rPr>
        <w:t>bat kol</w:t>
      </w:r>
      <w:r w:rsidRPr="00E54204">
        <w:rPr>
          <w:rFonts w:cs="Times New Roman"/>
          <w:bCs/>
          <w:szCs w:val="20"/>
          <w:lang w:bidi="he-IL"/>
        </w:rPr>
        <w:t xml:space="preserve">.  It </w:t>
      </w:r>
      <w:r w:rsidR="00B777E4" w:rsidRPr="00E54204">
        <w:rPr>
          <w:rFonts w:cs="Times New Roman"/>
          <w:bCs/>
          <w:szCs w:val="20"/>
          <w:lang w:bidi="he-IL"/>
        </w:rPr>
        <w:t>appears there were</w:t>
      </w:r>
      <w:r w:rsidRPr="00E54204">
        <w:rPr>
          <w:rFonts w:cs="Times New Roman"/>
          <w:bCs/>
          <w:szCs w:val="20"/>
          <w:lang w:bidi="he-IL"/>
        </w:rPr>
        <w:t xml:space="preserve"> practical reasons for espousing that prophecy n</w:t>
      </w:r>
      <w:r w:rsidR="00AF612B" w:rsidRPr="00E54204">
        <w:rPr>
          <w:rFonts w:cs="Times New Roman"/>
          <w:bCs/>
          <w:szCs w:val="20"/>
          <w:lang w:bidi="he-IL"/>
        </w:rPr>
        <w:t>o longer existed such as to safeguard rabbinic authority.</w:t>
      </w:r>
    </w:p>
    <w:p w14:paraId="6E318A97" w14:textId="77777777" w:rsidR="00073BBB" w:rsidRPr="00E54204" w:rsidRDefault="00073BBB" w:rsidP="00AA1903">
      <w:pPr>
        <w:spacing w:after="160"/>
        <w:rPr>
          <w:szCs w:val="20"/>
        </w:rPr>
      </w:pPr>
    </w:p>
    <w:p w14:paraId="7D9EA96E" w14:textId="77777777" w:rsidR="00AA1903" w:rsidRPr="00E54204" w:rsidRDefault="009A5E7E" w:rsidP="00AA1903">
      <w:pPr>
        <w:spacing w:after="160"/>
        <w:rPr>
          <w:i/>
          <w:szCs w:val="20"/>
        </w:rPr>
      </w:pPr>
      <w:r w:rsidRPr="00E54204">
        <w:rPr>
          <w:szCs w:val="20"/>
        </w:rPr>
        <w:lastRenderedPageBreak/>
        <w:t>B.</w:t>
      </w:r>
      <w:r w:rsidRPr="00E54204">
        <w:rPr>
          <w:i/>
          <w:szCs w:val="20"/>
        </w:rPr>
        <w:tab/>
      </w:r>
      <w:r w:rsidR="00AA1903" w:rsidRPr="00E54204">
        <w:rPr>
          <w:i/>
          <w:szCs w:val="20"/>
        </w:rPr>
        <w:t>Approach</w:t>
      </w:r>
    </w:p>
    <w:p w14:paraId="4AD6D46D" w14:textId="77777777" w:rsidR="00EA3EAF" w:rsidRPr="00E54204" w:rsidRDefault="000D26E8" w:rsidP="00386FDA">
      <w:pPr>
        <w:spacing w:after="160"/>
        <w:ind w:firstLine="720"/>
        <w:rPr>
          <w:szCs w:val="20"/>
        </w:rPr>
      </w:pPr>
      <w:r w:rsidRPr="00E54204">
        <w:rPr>
          <w:szCs w:val="20"/>
        </w:rPr>
        <w:t xml:space="preserve">I seek to couch the theme of the </w:t>
      </w:r>
      <w:r w:rsidRPr="00E54204">
        <w:rPr>
          <w:i/>
          <w:szCs w:val="20"/>
        </w:rPr>
        <w:t>bat kol</w:t>
      </w:r>
      <w:r w:rsidR="00EA3EAF" w:rsidRPr="00E54204">
        <w:rPr>
          <w:szCs w:val="20"/>
        </w:rPr>
        <w:t xml:space="preserve"> in a literary-historical framework.  Writings from the ancient w</w:t>
      </w:r>
      <w:r w:rsidR="002F2423" w:rsidRPr="00E54204">
        <w:rPr>
          <w:szCs w:val="20"/>
        </w:rPr>
        <w:t>orld exhibit the</w:t>
      </w:r>
      <w:r w:rsidR="00EA3EAF" w:rsidRPr="00E54204">
        <w:rPr>
          <w:szCs w:val="20"/>
        </w:rPr>
        <w:t xml:space="preserve"> convergence of t</w:t>
      </w:r>
      <w:r w:rsidRPr="00E54204">
        <w:rPr>
          <w:szCs w:val="20"/>
        </w:rPr>
        <w:t>he super</w:t>
      </w:r>
      <w:r w:rsidR="002F2423" w:rsidRPr="00E54204">
        <w:rPr>
          <w:szCs w:val="20"/>
        </w:rPr>
        <w:t>natural with the natural</w:t>
      </w:r>
      <w:r w:rsidR="00B65111" w:rsidRPr="00E54204">
        <w:rPr>
          <w:szCs w:val="20"/>
        </w:rPr>
        <w:t xml:space="preserve"> and</w:t>
      </w:r>
      <w:r w:rsidRPr="00E54204">
        <w:rPr>
          <w:szCs w:val="20"/>
        </w:rPr>
        <w:t xml:space="preserve"> commo</w:t>
      </w:r>
      <w:r w:rsidR="002F2423" w:rsidRPr="00E54204">
        <w:rPr>
          <w:szCs w:val="20"/>
        </w:rPr>
        <w:t>nly utilized</w:t>
      </w:r>
      <w:r w:rsidR="00C14ACE" w:rsidRPr="00E54204">
        <w:rPr>
          <w:szCs w:val="20"/>
        </w:rPr>
        <w:t xml:space="preserve"> narrative</w:t>
      </w:r>
      <w:r w:rsidR="002F2423" w:rsidRPr="00E54204">
        <w:rPr>
          <w:szCs w:val="20"/>
        </w:rPr>
        <w:t xml:space="preserve"> discourse</w:t>
      </w:r>
      <w:r w:rsidR="00C14ACE" w:rsidRPr="00E54204">
        <w:rPr>
          <w:szCs w:val="20"/>
        </w:rPr>
        <w:t xml:space="preserve"> for such</w:t>
      </w:r>
      <w:r w:rsidRPr="00E54204">
        <w:rPr>
          <w:szCs w:val="20"/>
        </w:rPr>
        <w:t xml:space="preserve"> purposes.</w:t>
      </w:r>
      <w:r w:rsidR="00EA3EAF" w:rsidRPr="00E54204">
        <w:rPr>
          <w:szCs w:val="20"/>
        </w:rPr>
        <w:t xml:space="preserve">  Granted groups like the Sadducees,</w:t>
      </w:r>
      <w:r w:rsidR="00EA3EAF" w:rsidRPr="00E54204">
        <w:rPr>
          <w:szCs w:val="20"/>
          <w:vertAlign w:val="superscript"/>
        </w:rPr>
        <w:footnoteReference w:id="153"/>
      </w:r>
      <w:r w:rsidR="00EA3EAF" w:rsidRPr="00E54204">
        <w:rPr>
          <w:szCs w:val="20"/>
        </w:rPr>
        <w:t xml:space="preserve"> did not assent to belief in the paranormal</w:t>
      </w:r>
      <w:r w:rsidR="00EA3EAF" w:rsidRPr="00E54204">
        <w:rPr>
          <w:szCs w:val="20"/>
          <w:vertAlign w:val="superscript"/>
        </w:rPr>
        <w:footnoteReference w:id="154"/>
      </w:r>
      <w:r w:rsidR="00C14ACE" w:rsidRPr="00E54204">
        <w:rPr>
          <w:szCs w:val="20"/>
        </w:rPr>
        <w:t xml:space="preserve"> in contrast to the other contemporary</w:t>
      </w:r>
      <w:r w:rsidR="00EA3EAF" w:rsidRPr="00E54204">
        <w:rPr>
          <w:szCs w:val="20"/>
        </w:rPr>
        <w:t xml:space="preserve"> groups</w:t>
      </w:r>
      <w:r w:rsidR="002F2423" w:rsidRPr="00E54204">
        <w:rPr>
          <w:szCs w:val="20"/>
        </w:rPr>
        <w:t xml:space="preserve"> (i.e., Pharisees, Christians, Qumranites)</w:t>
      </w:r>
      <w:r w:rsidR="00C14ACE" w:rsidRPr="00E54204">
        <w:rPr>
          <w:szCs w:val="20"/>
        </w:rPr>
        <w:t xml:space="preserve"> </w:t>
      </w:r>
      <w:r w:rsidR="00EA3EAF" w:rsidRPr="00E54204">
        <w:rPr>
          <w:szCs w:val="20"/>
        </w:rPr>
        <w:t>who did sub</w:t>
      </w:r>
      <w:r w:rsidR="00B65111" w:rsidRPr="00E54204">
        <w:rPr>
          <w:szCs w:val="20"/>
        </w:rPr>
        <w:t>scribe to such notions</w:t>
      </w:r>
      <w:r w:rsidR="002F2423" w:rsidRPr="00E54204">
        <w:rPr>
          <w:szCs w:val="20"/>
        </w:rPr>
        <w:t xml:space="preserve">.  </w:t>
      </w:r>
      <w:r w:rsidR="00582708" w:rsidRPr="00E54204">
        <w:rPr>
          <w:szCs w:val="20"/>
        </w:rPr>
        <w:t xml:space="preserve">Moreover, </w:t>
      </w:r>
      <w:r w:rsidR="002F2423" w:rsidRPr="00E54204">
        <w:rPr>
          <w:szCs w:val="20"/>
        </w:rPr>
        <w:t>Qumran’s</w:t>
      </w:r>
      <w:r w:rsidR="002F2423" w:rsidRPr="00E54204">
        <w:rPr>
          <w:i/>
          <w:szCs w:val="20"/>
        </w:rPr>
        <w:t xml:space="preserve"> Pesher</w:t>
      </w:r>
      <w:r w:rsidR="002F2423" w:rsidRPr="00E54204">
        <w:rPr>
          <w:szCs w:val="20"/>
        </w:rPr>
        <w:t xml:space="preserve"> commentaries, the Christian’s int</w:t>
      </w:r>
      <w:r w:rsidR="00582708" w:rsidRPr="00E54204">
        <w:rPr>
          <w:szCs w:val="20"/>
        </w:rPr>
        <w:t>erpretation of Biblical prophecies</w:t>
      </w:r>
      <w:r w:rsidR="002F2423" w:rsidRPr="00E54204">
        <w:rPr>
          <w:szCs w:val="20"/>
        </w:rPr>
        <w:t xml:space="preserve"> referring to Jesus of Nazareth, and the variegated, rabbinic method of Scripture interpretation, all demonstrate </w:t>
      </w:r>
      <w:r w:rsidR="00582708" w:rsidRPr="00E54204">
        <w:rPr>
          <w:szCs w:val="20"/>
        </w:rPr>
        <w:t xml:space="preserve">the outworking of revelation through exegesis.  </w:t>
      </w:r>
      <w:r w:rsidR="00EA3EAF" w:rsidRPr="00E54204">
        <w:rPr>
          <w:szCs w:val="20"/>
        </w:rPr>
        <w:t>Thi</w:t>
      </w:r>
      <w:r w:rsidR="00582708" w:rsidRPr="00E54204">
        <w:rPr>
          <w:szCs w:val="20"/>
        </w:rPr>
        <w:t>s spiritual sensitivity exhibited in these works also draws parallel with apocalyptic writings of the</w:t>
      </w:r>
      <w:r w:rsidR="00B51766" w:rsidRPr="00E54204">
        <w:rPr>
          <w:szCs w:val="20"/>
        </w:rPr>
        <w:t xml:space="preserve"> late-</w:t>
      </w:r>
      <w:r w:rsidR="00582708" w:rsidRPr="00E54204">
        <w:rPr>
          <w:szCs w:val="20"/>
        </w:rPr>
        <w:t>Second</w:t>
      </w:r>
      <w:r w:rsidR="00B51766" w:rsidRPr="00E54204">
        <w:rPr>
          <w:szCs w:val="20"/>
        </w:rPr>
        <w:t>-</w:t>
      </w:r>
      <w:r w:rsidR="00582708" w:rsidRPr="00E54204">
        <w:rPr>
          <w:szCs w:val="20"/>
        </w:rPr>
        <w:t>Temple period</w:t>
      </w:r>
      <w:r w:rsidR="00EA3EAF" w:rsidRPr="00E54204">
        <w:rPr>
          <w:szCs w:val="20"/>
        </w:rPr>
        <w:t>.</w:t>
      </w:r>
    </w:p>
    <w:p w14:paraId="2EA02FFE" w14:textId="77777777" w:rsidR="00386FDA" w:rsidRPr="00E54204" w:rsidRDefault="002E3B56" w:rsidP="00EA3EAF">
      <w:pPr>
        <w:spacing w:after="160"/>
        <w:ind w:firstLine="720"/>
        <w:rPr>
          <w:szCs w:val="20"/>
        </w:rPr>
      </w:pPr>
      <w:r w:rsidRPr="00E54204">
        <w:rPr>
          <w:szCs w:val="20"/>
        </w:rPr>
        <w:t>My approach seeks to</w:t>
      </w:r>
      <w:r w:rsidR="00AB3798" w:rsidRPr="00E54204">
        <w:rPr>
          <w:szCs w:val="20"/>
        </w:rPr>
        <w:t xml:space="preserve"> ac</w:t>
      </w:r>
      <w:r w:rsidRPr="00E54204">
        <w:rPr>
          <w:szCs w:val="20"/>
        </w:rPr>
        <w:t xml:space="preserve">count for the </w:t>
      </w:r>
      <w:r w:rsidRPr="00E54204">
        <w:rPr>
          <w:i/>
          <w:szCs w:val="20"/>
        </w:rPr>
        <w:t xml:space="preserve">bat kol </w:t>
      </w:r>
      <w:r w:rsidRPr="00E54204">
        <w:rPr>
          <w:szCs w:val="20"/>
        </w:rPr>
        <w:t xml:space="preserve">within </w:t>
      </w:r>
      <w:r w:rsidR="00AB3798" w:rsidRPr="00E54204">
        <w:rPr>
          <w:szCs w:val="20"/>
        </w:rPr>
        <w:t>Judaism’s gargantuan and seminal work, the</w:t>
      </w:r>
      <w:r w:rsidR="00AA1903" w:rsidRPr="00E54204">
        <w:rPr>
          <w:szCs w:val="20"/>
        </w:rPr>
        <w:t xml:space="preserve"> Babylonian Talmud.</w:t>
      </w:r>
      <w:r w:rsidR="00AA1903" w:rsidRPr="00E54204">
        <w:rPr>
          <w:szCs w:val="20"/>
          <w:vertAlign w:val="superscript"/>
        </w:rPr>
        <w:footnoteReference w:id="155"/>
      </w:r>
      <w:r w:rsidRPr="00E54204">
        <w:rPr>
          <w:szCs w:val="20"/>
        </w:rPr>
        <w:t xml:space="preserve">  Moreover, this chapter seeks to present cognates within other ancient literature in order to identify possible sources of influence upon r</w:t>
      </w:r>
      <w:r w:rsidR="00BE4994" w:rsidRPr="00E54204">
        <w:rPr>
          <w:szCs w:val="20"/>
        </w:rPr>
        <w:t>abbinic thought, by presenting clear parallels in function and theme.</w:t>
      </w:r>
      <w:r w:rsidR="00B65111" w:rsidRPr="00E54204">
        <w:rPr>
          <w:szCs w:val="20"/>
        </w:rPr>
        <w:t xml:space="preserve">  I will employ a philological and literary approach.  I will present specific passages that are relevant for the purposes of comparing with stories depicting the </w:t>
      </w:r>
      <w:r w:rsidR="00B65111" w:rsidRPr="00E54204">
        <w:rPr>
          <w:i/>
          <w:szCs w:val="20"/>
        </w:rPr>
        <w:t>bat kol</w:t>
      </w:r>
      <w:r w:rsidR="00386FDA" w:rsidRPr="00E54204">
        <w:rPr>
          <w:szCs w:val="20"/>
        </w:rPr>
        <w:t>, analyzing concepts and themes in the process</w:t>
      </w:r>
      <w:r w:rsidR="00F1063E" w:rsidRPr="00E54204">
        <w:rPr>
          <w:szCs w:val="20"/>
        </w:rPr>
        <w:t xml:space="preserve">.  </w:t>
      </w:r>
    </w:p>
    <w:p w14:paraId="525DE74F" w14:textId="77777777" w:rsidR="00AA1903" w:rsidRPr="00E54204" w:rsidRDefault="00D2476A" w:rsidP="00386FDA">
      <w:pPr>
        <w:spacing w:after="160"/>
        <w:ind w:firstLine="720"/>
        <w:rPr>
          <w:szCs w:val="20"/>
        </w:rPr>
      </w:pPr>
      <w:r w:rsidRPr="00E54204">
        <w:rPr>
          <w:szCs w:val="20"/>
        </w:rPr>
        <w:lastRenderedPageBreak/>
        <w:t>However, I will briefly comment on a few</w:t>
      </w:r>
      <w:r w:rsidR="00AA1903" w:rsidRPr="00E54204">
        <w:rPr>
          <w:szCs w:val="20"/>
        </w:rPr>
        <w:t xml:space="preserve"> basic</w:t>
      </w:r>
      <w:r w:rsidRPr="00E54204">
        <w:rPr>
          <w:szCs w:val="20"/>
        </w:rPr>
        <w:t xml:space="preserve"> and possible scenarios from the standpoint of the writers.</w:t>
      </w:r>
      <w:r w:rsidR="001C22B7" w:rsidRPr="00E54204">
        <w:rPr>
          <w:szCs w:val="20"/>
          <w:vertAlign w:val="superscript"/>
        </w:rPr>
        <w:footnoteReference w:id="156"/>
      </w:r>
      <w:r w:rsidR="00AA1903" w:rsidRPr="00E54204">
        <w:rPr>
          <w:szCs w:val="20"/>
        </w:rPr>
        <w:t xml:space="preserve">  The w</w:t>
      </w:r>
      <w:r w:rsidRPr="00E54204">
        <w:rPr>
          <w:szCs w:val="20"/>
        </w:rPr>
        <w:t>riter could have transcribed a given</w:t>
      </w:r>
      <w:r w:rsidR="00AA1903" w:rsidRPr="00E54204">
        <w:rPr>
          <w:szCs w:val="20"/>
        </w:rPr>
        <w:t xml:space="preserve"> tradition and or event believing it to have been historically true (eye-witness or not) and therefore </w:t>
      </w:r>
      <w:r w:rsidRPr="00E54204">
        <w:rPr>
          <w:szCs w:val="20"/>
        </w:rPr>
        <w:t>important to promulgate</w:t>
      </w:r>
      <w:r w:rsidR="00AA1903" w:rsidRPr="00E54204">
        <w:rPr>
          <w:szCs w:val="20"/>
        </w:rPr>
        <w:t xml:space="preserve">.  </w:t>
      </w:r>
      <w:r w:rsidRPr="00E54204">
        <w:rPr>
          <w:szCs w:val="20"/>
        </w:rPr>
        <w:t>Or t</w:t>
      </w:r>
      <w:r w:rsidR="00AA1903" w:rsidRPr="00E54204">
        <w:rPr>
          <w:szCs w:val="20"/>
        </w:rPr>
        <w:t>he writer (and perhaps the intended audience) may have been cognizant of its fictional compo</w:t>
      </w:r>
      <w:r w:rsidRPr="00E54204">
        <w:rPr>
          <w:szCs w:val="20"/>
        </w:rPr>
        <w:t>sition yet acknowledged its value, such as</w:t>
      </w:r>
      <w:r w:rsidR="00AA1903" w:rsidRPr="00E54204">
        <w:rPr>
          <w:szCs w:val="20"/>
        </w:rPr>
        <w:t xml:space="preserve"> for didactic purposes.</w:t>
      </w:r>
      <w:r w:rsidR="00395EDE" w:rsidRPr="00E54204">
        <w:rPr>
          <w:szCs w:val="20"/>
        </w:rPr>
        <w:t xml:space="preserve">  </w:t>
      </w:r>
      <w:r w:rsidR="002E3B56" w:rsidRPr="00E54204">
        <w:rPr>
          <w:szCs w:val="20"/>
        </w:rPr>
        <w:t>In such a case</w:t>
      </w:r>
      <w:r w:rsidRPr="00E54204">
        <w:rPr>
          <w:szCs w:val="20"/>
        </w:rPr>
        <w:t>, why would it be appealed to in order to convey moral teachings?  In other words,</w:t>
      </w:r>
      <w:r w:rsidR="002E3B56" w:rsidRPr="00E54204">
        <w:rPr>
          <w:szCs w:val="20"/>
        </w:rPr>
        <w:t xml:space="preserve"> what authority did the</w:t>
      </w:r>
      <w:r w:rsidRPr="00E54204">
        <w:rPr>
          <w:szCs w:val="20"/>
        </w:rPr>
        <w:t xml:space="preserve"> </w:t>
      </w:r>
      <w:r w:rsidRPr="00E54204">
        <w:rPr>
          <w:i/>
          <w:szCs w:val="20"/>
        </w:rPr>
        <w:t>bat kol</w:t>
      </w:r>
      <w:r w:rsidR="002E3B56" w:rsidRPr="00E54204">
        <w:rPr>
          <w:szCs w:val="20"/>
        </w:rPr>
        <w:t xml:space="preserve"> enjoy?</w:t>
      </w:r>
      <w:r w:rsidR="002E3B56" w:rsidRPr="00E54204">
        <w:rPr>
          <w:i/>
          <w:szCs w:val="20"/>
        </w:rPr>
        <w:t xml:space="preserve">  </w:t>
      </w:r>
      <w:r w:rsidR="002E3B56" w:rsidRPr="00E54204">
        <w:rPr>
          <w:szCs w:val="20"/>
        </w:rPr>
        <w:t xml:space="preserve">Theoretically </w:t>
      </w:r>
      <w:r w:rsidRPr="00E54204">
        <w:rPr>
          <w:szCs w:val="20"/>
        </w:rPr>
        <w:t>a single event could have been sufficient to foster</w:t>
      </w:r>
      <w:r w:rsidR="002E3B56" w:rsidRPr="00E54204">
        <w:rPr>
          <w:szCs w:val="20"/>
        </w:rPr>
        <w:t xml:space="preserve"> additional legend</w:t>
      </w:r>
      <w:r w:rsidR="00386FDA" w:rsidRPr="00E54204">
        <w:rPr>
          <w:szCs w:val="20"/>
        </w:rPr>
        <w:t>s</w:t>
      </w:r>
      <w:r w:rsidR="002E3B56" w:rsidRPr="00E54204">
        <w:rPr>
          <w:szCs w:val="20"/>
        </w:rPr>
        <w:t>, to say the least</w:t>
      </w:r>
      <w:r w:rsidRPr="00E54204">
        <w:rPr>
          <w:szCs w:val="20"/>
        </w:rPr>
        <w:t>.</w:t>
      </w:r>
      <w:r w:rsidR="00386FDA" w:rsidRPr="00E54204">
        <w:rPr>
          <w:szCs w:val="20"/>
        </w:rPr>
        <w:t xml:space="preserve">  </w:t>
      </w:r>
      <w:r w:rsidRPr="00E54204">
        <w:rPr>
          <w:szCs w:val="20"/>
        </w:rPr>
        <w:t>Nevertheless the point to be made is that it contained intrinsic value for the rabbis as refl</w:t>
      </w:r>
      <w:r w:rsidR="002E3B56" w:rsidRPr="00E54204">
        <w:rPr>
          <w:szCs w:val="20"/>
        </w:rPr>
        <w:t>ected in their stories.  Consequently</w:t>
      </w:r>
      <w:r w:rsidR="00C36948" w:rsidRPr="00E54204">
        <w:rPr>
          <w:szCs w:val="20"/>
        </w:rPr>
        <w:t>,</w:t>
      </w:r>
      <w:r w:rsidRPr="00E54204">
        <w:rPr>
          <w:szCs w:val="20"/>
        </w:rPr>
        <w:t xml:space="preserve"> it also carried worth for the c</w:t>
      </w:r>
      <w:r w:rsidR="002E3B56" w:rsidRPr="00E54204">
        <w:rPr>
          <w:szCs w:val="20"/>
        </w:rPr>
        <w:t>ommon people, whether or not its</w:t>
      </w:r>
      <w:r w:rsidR="00386FDA" w:rsidRPr="00E54204">
        <w:rPr>
          <w:szCs w:val="20"/>
        </w:rPr>
        <w:t xml:space="preserve"> historicity can be ascertained by modern scholars.</w:t>
      </w:r>
      <w:r w:rsidR="00AA1903" w:rsidRPr="00E54204">
        <w:rPr>
          <w:szCs w:val="20"/>
        </w:rPr>
        <w:tab/>
        <w:t xml:space="preserve"> </w:t>
      </w:r>
    </w:p>
    <w:p w14:paraId="777F98D6" w14:textId="77777777" w:rsidR="00AA1903" w:rsidRPr="00E54204" w:rsidRDefault="009A5E7E" w:rsidP="0031618C">
      <w:pPr>
        <w:spacing w:after="160"/>
        <w:rPr>
          <w:szCs w:val="20"/>
        </w:rPr>
      </w:pPr>
      <w:r w:rsidRPr="00E54204">
        <w:rPr>
          <w:b/>
          <w:szCs w:val="20"/>
        </w:rPr>
        <w:t>II.</w:t>
      </w:r>
      <w:r w:rsidRPr="00E54204">
        <w:rPr>
          <w:b/>
          <w:szCs w:val="20"/>
        </w:rPr>
        <w:tab/>
      </w:r>
      <w:r w:rsidR="00AA1903" w:rsidRPr="00E54204">
        <w:rPr>
          <w:b/>
          <w:szCs w:val="20"/>
        </w:rPr>
        <w:t>Rabbinic Literary Categories, Biblical and Apocalyptic Literatures</w:t>
      </w:r>
      <w:r w:rsidR="00AA1903" w:rsidRPr="00E54204">
        <w:rPr>
          <w:szCs w:val="20"/>
        </w:rPr>
        <w:t xml:space="preserve"> </w:t>
      </w:r>
    </w:p>
    <w:p w14:paraId="75175375" w14:textId="77777777" w:rsidR="00C36948" w:rsidRPr="00E54204" w:rsidRDefault="00AA1903" w:rsidP="00F2547E">
      <w:pPr>
        <w:ind w:firstLine="720"/>
        <w:rPr>
          <w:szCs w:val="20"/>
        </w:rPr>
      </w:pPr>
      <w:r w:rsidRPr="00E54204">
        <w:rPr>
          <w:szCs w:val="20"/>
        </w:rPr>
        <w:t xml:space="preserve">Ancient rabbinic literature was multilayered.  Scholars tend to distinguish two broad categories in this voluminous body of writings: </w:t>
      </w:r>
      <w:r w:rsidR="00EF69C7" w:rsidRPr="00E54204">
        <w:rPr>
          <w:i/>
          <w:szCs w:val="20"/>
        </w:rPr>
        <w:t>Halac</w:t>
      </w:r>
      <w:r w:rsidRPr="00E54204">
        <w:rPr>
          <w:i/>
          <w:szCs w:val="20"/>
        </w:rPr>
        <w:t>ha</w:t>
      </w:r>
      <w:r w:rsidRPr="00E54204">
        <w:rPr>
          <w:szCs w:val="20"/>
        </w:rPr>
        <w:t xml:space="preserve"> (legal instruction) and </w:t>
      </w:r>
      <w:r w:rsidR="00EC5FD2" w:rsidRPr="00E54204">
        <w:rPr>
          <w:i/>
          <w:szCs w:val="20"/>
        </w:rPr>
        <w:t>H</w:t>
      </w:r>
      <w:r w:rsidRPr="00E54204">
        <w:rPr>
          <w:i/>
          <w:szCs w:val="20"/>
        </w:rPr>
        <w:t>aggadah</w:t>
      </w:r>
      <w:r w:rsidRPr="00E54204">
        <w:rPr>
          <w:szCs w:val="20"/>
        </w:rPr>
        <w:t xml:space="preserve"> (lore/storytelling).  The law or </w:t>
      </w:r>
      <w:r w:rsidR="004B512C" w:rsidRPr="00E54204">
        <w:rPr>
          <w:i/>
          <w:szCs w:val="20"/>
        </w:rPr>
        <w:t>Halac</w:t>
      </w:r>
      <w:r w:rsidRPr="00E54204">
        <w:rPr>
          <w:i/>
          <w:szCs w:val="20"/>
        </w:rPr>
        <w:t>hic</w:t>
      </w:r>
      <w:r w:rsidRPr="00E54204">
        <w:rPr>
          <w:szCs w:val="20"/>
        </w:rPr>
        <w:t xml:space="preserve"> component, is meant to transmit the proper </w:t>
      </w:r>
      <w:r w:rsidR="001C22B7" w:rsidRPr="00E54204">
        <w:rPr>
          <w:szCs w:val="20"/>
        </w:rPr>
        <w:t xml:space="preserve">observance expected of Jews per </w:t>
      </w:r>
      <w:r w:rsidR="00C65817" w:rsidRPr="00E54204">
        <w:rPr>
          <w:szCs w:val="20"/>
        </w:rPr>
        <w:t xml:space="preserve">the ancient sages/rabbis.  </w:t>
      </w:r>
      <w:r w:rsidRPr="00E54204">
        <w:rPr>
          <w:i/>
          <w:szCs w:val="20"/>
        </w:rPr>
        <w:t>Haggadah</w:t>
      </w:r>
      <w:r w:rsidRPr="00E54204">
        <w:rPr>
          <w:szCs w:val="20"/>
        </w:rPr>
        <w:t xml:space="preserve"> is understood as a literary category of ethical teachings and or interpretations typically</w:t>
      </w:r>
    </w:p>
    <w:p w14:paraId="1AE9AA50" w14:textId="77777777" w:rsidR="00AA1903" w:rsidRPr="00E54204" w:rsidRDefault="00AA1903" w:rsidP="00F2547E">
      <w:pPr>
        <w:rPr>
          <w:szCs w:val="20"/>
        </w:rPr>
      </w:pPr>
      <w:r w:rsidRPr="00E54204">
        <w:rPr>
          <w:szCs w:val="20"/>
        </w:rPr>
        <w:t>transmitted through stories.</w:t>
      </w:r>
      <w:r w:rsidRPr="00E54204">
        <w:rPr>
          <w:szCs w:val="20"/>
          <w:vertAlign w:val="superscript"/>
        </w:rPr>
        <w:footnoteReference w:id="157"/>
      </w:r>
      <w:r w:rsidRPr="00E54204">
        <w:rPr>
          <w:szCs w:val="20"/>
        </w:rPr>
        <w:t xml:space="preserve">  In fact, scholars have suggested the</w:t>
      </w:r>
      <w:r w:rsidR="00FF4837" w:rsidRPr="00E54204">
        <w:rPr>
          <w:szCs w:val="20"/>
        </w:rPr>
        <w:t xml:space="preserve">re is no single translation </w:t>
      </w:r>
      <w:r w:rsidRPr="00E54204">
        <w:rPr>
          <w:szCs w:val="20"/>
        </w:rPr>
        <w:t>which fully encapsulate</w:t>
      </w:r>
      <w:r w:rsidR="00FF4837" w:rsidRPr="00E54204">
        <w:rPr>
          <w:szCs w:val="20"/>
        </w:rPr>
        <w:t>s</w:t>
      </w:r>
      <w:r w:rsidRPr="00E54204">
        <w:rPr>
          <w:szCs w:val="20"/>
        </w:rPr>
        <w:t xml:space="preserve"> its vast range of meanings.</w:t>
      </w:r>
      <w:r w:rsidRPr="00E54204">
        <w:rPr>
          <w:szCs w:val="20"/>
          <w:vertAlign w:val="superscript"/>
        </w:rPr>
        <w:footnoteReference w:id="158"/>
      </w:r>
      <w:r w:rsidRPr="00E54204">
        <w:rPr>
          <w:szCs w:val="20"/>
        </w:rPr>
        <w:t xml:space="preserve">  </w:t>
      </w:r>
    </w:p>
    <w:p w14:paraId="11378DD1" w14:textId="77777777" w:rsidR="00AA1903" w:rsidRPr="00E54204" w:rsidRDefault="00AA1903" w:rsidP="004D6D82">
      <w:pPr>
        <w:spacing w:after="160"/>
        <w:ind w:firstLine="720"/>
        <w:rPr>
          <w:szCs w:val="20"/>
        </w:rPr>
      </w:pPr>
      <w:r w:rsidRPr="00E54204">
        <w:rPr>
          <w:szCs w:val="20"/>
        </w:rPr>
        <w:lastRenderedPageBreak/>
        <w:t>Jeffrey Rubenstein remarks that rabbinic stories, “…should not be seen as historical testimonies but as rhetoric that serves the purposes of the storyteller(s).  They relate deeds o</w:t>
      </w:r>
      <w:r w:rsidR="00751C3E" w:rsidRPr="00E54204">
        <w:rPr>
          <w:szCs w:val="20"/>
        </w:rPr>
        <w:t>f the sages that ‘could have happened’ and speech that ‘should have been spoken’</w:t>
      </w:r>
      <w:r w:rsidRPr="00E54204">
        <w:rPr>
          <w:szCs w:val="20"/>
        </w:rPr>
        <w:t xml:space="preserve"> according to the storyteller’s sensibilities.”</w:t>
      </w:r>
      <w:r w:rsidRPr="00E54204">
        <w:rPr>
          <w:szCs w:val="20"/>
          <w:vertAlign w:val="superscript"/>
        </w:rPr>
        <w:footnoteReference w:id="159"/>
      </w:r>
      <w:r w:rsidRPr="00E54204">
        <w:rPr>
          <w:szCs w:val="20"/>
        </w:rPr>
        <w:t xml:space="preserve">  I seek to elucidate why it was employed by the rabbis.  Surely, the pervasive number of occurrences found throughout the Talmudic writings and other related literature </w:t>
      </w:r>
      <w:r w:rsidR="00571CF2" w:rsidRPr="00E54204">
        <w:rPr>
          <w:szCs w:val="20"/>
        </w:rPr>
        <w:t>is not happenchance</w:t>
      </w:r>
      <w:r w:rsidRPr="00E54204">
        <w:rPr>
          <w:szCs w:val="20"/>
        </w:rPr>
        <w:t>.</w:t>
      </w:r>
      <w:r w:rsidRPr="00E54204">
        <w:rPr>
          <w:szCs w:val="20"/>
          <w:vertAlign w:val="superscript"/>
        </w:rPr>
        <w:footnoteReference w:id="160"/>
      </w:r>
      <w:r w:rsidRPr="00E54204">
        <w:rPr>
          <w:szCs w:val="20"/>
        </w:rPr>
        <w:t xml:space="preserve">  Therefore in order to construe some plausible explanation for the presence and pervasiveness of this term, it is helpful to consid</w:t>
      </w:r>
      <w:r w:rsidR="00571CF2" w:rsidRPr="00E54204">
        <w:rPr>
          <w:szCs w:val="20"/>
        </w:rPr>
        <w:t>er the beliefs of the sages which</w:t>
      </w:r>
      <w:r w:rsidRPr="00E54204">
        <w:rPr>
          <w:szCs w:val="20"/>
        </w:rPr>
        <w:t xml:space="preserve"> informed their writings.  Lawrence Schiffman, for instance, has noted that later </w:t>
      </w:r>
      <w:r w:rsidR="00091157" w:rsidRPr="00E54204">
        <w:rPr>
          <w:i/>
          <w:szCs w:val="20"/>
        </w:rPr>
        <w:t>H</w:t>
      </w:r>
      <w:r w:rsidRPr="00E54204">
        <w:rPr>
          <w:i/>
          <w:szCs w:val="20"/>
        </w:rPr>
        <w:t>aggadot</w:t>
      </w:r>
      <w:r w:rsidRPr="00E54204">
        <w:rPr>
          <w:szCs w:val="20"/>
          <w:vertAlign w:val="superscript"/>
        </w:rPr>
        <w:footnoteReference w:id="161"/>
      </w:r>
      <w:r w:rsidRPr="00E54204">
        <w:rPr>
          <w:i/>
          <w:szCs w:val="20"/>
        </w:rPr>
        <w:t xml:space="preserve"> </w:t>
      </w:r>
      <w:r w:rsidRPr="00E54204">
        <w:rPr>
          <w:szCs w:val="20"/>
        </w:rPr>
        <w:t>were more influenc</w:t>
      </w:r>
      <w:r w:rsidR="00625010" w:rsidRPr="00E54204">
        <w:rPr>
          <w:szCs w:val="20"/>
        </w:rPr>
        <w:t>ed by apocrypha, pseudepigraphic</w:t>
      </w:r>
      <w:r w:rsidRPr="00E54204">
        <w:rPr>
          <w:szCs w:val="20"/>
        </w:rPr>
        <w:t xml:space="preserve">, and apocalyptic elements than those produced by the </w:t>
      </w:r>
      <w:r w:rsidRPr="00E54204">
        <w:rPr>
          <w:i/>
          <w:szCs w:val="20"/>
        </w:rPr>
        <w:t>Amoraim</w:t>
      </w:r>
      <w:r w:rsidRPr="00E54204">
        <w:rPr>
          <w:szCs w:val="20"/>
          <w:vertAlign w:val="superscript"/>
        </w:rPr>
        <w:footnoteReference w:id="162"/>
      </w:r>
      <w:r w:rsidRPr="00E54204">
        <w:rPr>
          <w:i/>
          <w:szCs w:val="20"/>
        </w:rPr>
        <w:t xml:space="preserve"> </w:t>
      </w:r>
      <w:r w:rsidRPr="00E54204">
        <w:rPr>
          <w:szCs w:val="20"/>
        </w:rPr>
        <w:t>in the land of Israel.</w:t>
      </w:r>
      <w:r w:rsidRPr="00E54204">
        <w:rPr>
          <w:szCs w:val="20"/>
          <w:vertAlign w:val="superscript"/>
        </w:rPr>
        <w:footnoteReference w:id="163"/>
      </w:r>
      <w:r w:rsidRPr="00E54204">
        <w:rPr>
          <w:szCs w:val="20"/>
        </w:rPr>
        <w:t xml:space="preserve">  That is to say</w:t>
      </w:r>
      <w:r w:rsidR="003A1113" w:rsidRPr="00E54204">
        <w:rPr>
          <w:szCs w:val="20"/>
        </w:rPr>
        <w:t>, according to Schiffman,</w:t>
      </w:r>
      <w:r w:rsidRPr="00E54204">
        <w:rPr>
          <w:szCs w:val="20"/>
        </w:rPr>
        <w:t xml:space="preserve"> </w:t>
      </w:r>
      <w:r w:rsidR="00561654" w:rsidRPr="00E54204">
        <w:rPr>
          <w:i/>
          <w:szCs w:val="20"/>
        </w:rPr>
        <w:t>H</w:t>
      </w:r>
      <w:r w:rsidRPr="00E54204">
        <w:rPr>
          <w:i/>
          <w:szCs w:val="20"/>
        </w:rPr>
        <w:t>aggadot</w:t>
      </w:r>
      <w:r w:rsidRPr="00E54204">
        <w:rPr>
          <w:szCs w:val="20"/>
        </w:rPr>
        <w:t xml:space="preserve"> found in the Babylonian Talmud</w:t>
      </w:r>
      <w:r w:rsidR="003A1113" w:rsidRPr="00E54204">
        <w:rPr>
          <w:szCs w:val="20"/>
        </w:rPr>
        <w:t xml:space="preserve"> as well as in later documents,</w:t>
      </w:r>
      <w:r w:rsidRPr="00E54204">
        <w:rPr>
          <w:szCs w:val="20"/>
        </w:rPr>
        <w:t xml:space="preserve"> exhibit more</w:t>
      </w:r>
      <w:r w:rsidR="003A1113" w:rsidRPr="00E54204">
        <w:rPr>
          <w:szCs w:val="20"/>
        </w:rPr>
        <w:t xml:space="preserve"> apocalyptic elements</w:t>
      </w:r>
      <w:r w:rsidRPr="00E54204">
        <w:rPr>
          <w:szCs w:val="20"/>
        </w:rPr>
        <w:t xml:space="preserve"> features than its Palestinian counterpart.</w:t>
      </w:r>
    </w:p>
    <w:p w14:paraId="1B483ABC" w14:textId="77777777" w:rsidR="00AA1903" w:rsidRPr="00E54204" w:rsidRDefault="00AA1903" w:rsidP="00E02CF5">
      <w:pPr>
        <w:spacing w:after="160"/>
        <w:ind w:firstLine="720"/>
        <w:rPr>
          <w:szCs w:val="20"/>
        </w:rPr>
      </w:pPr>
      <w:r w:rsidRPr="00E54204">
        <w:rPr>
          <w:szCs w:val="20"/>
        </w:rPr>
        <w:lastRenderedPageBreak/>
        <w:t>A choice prophetic/apocalyptic text for various Jewish sects at the time was the book of Daniel.</w:t>
      </w:r>
      <w:r w:rsidRPr="00E54204">
        <w:rPr>
          <w:szCs w:val="20"/>
          <w:vertAlign w:val="superscript"/>
        </w:rPr>
        <w:footnoteReference w:id="164"/>
      </w:r>
      <w:r w:rsidRPr="00E54204">
        <w:rPr>
          <w:szCs w:val="20"/>
        </w:rPr>
        <w:t xml:space="preserve">  Daniel was typically esteemed as a prophet by the writers of antiquity.</w:t>
      </w:r>
      <w:r w:rsidRPr="00E54204">
        <w:rPr>
          <w:szCs w:val="20"/>
          <w:vertAlign w:val="superscript"/>
        </w:rPr>
        <w:footnoteReference w:id="165"/>
      </w:r>
      <w:r w:rsidRPr="00E54204">
        <w:rPr>
          <w:szCs w:val="20"/>
        </w:rPr>
        <w:t xml:space="preserve"> Scholars like Alex Jassen have interpreted chapter nine to be the locus for the nature of prophecy in the Second Temple period, namely, revelation through exegesis of Scripture</w:t>
      </w:r>
      <w:r w:rsidRPr="00E54204">
        <w:rPr>
          <w:szCs w:val="20"/>
          <w:vertAlign w:val="superscript"/>
        </w:rPr>
        <w:footnoteReference w:id="166"/>
      </w:r>
      <w:r w:rsidRPr="00E54204">
        <w:rPr>
          <w:szCs w:val="20"/>
        </w:rPr>
        <w:t xml:space="preserve"> and mantic wisdom or interpreting the future through signs.</w:t>
      </w:r>
      <w:r w:rsidRPr="00E54204">
        <w:rPr>
          <w:szCs w:val="20"/>
          <w:vertAlign w:val="superscript"/>
        </w:rPr>
        <w:footnoteReference w:id="167"/>
      </w:r>
      <w:r w:rsidR="009D4642" w:rsidRPr="00E54204">
        <w:rPr>
          <w:szCs w:val="20"/>
        </w:rPr>
        <w:t xml:space="preserve">  In </w:t>
      </w:r>
      <w:r w:rsidR="00AC7559" w:rsidRPr="00E54204">
        <w:rPr>
          <w:szCs w:val="20"/>
        </w:rPr>
        <w:t>chapter</w:t>
      </w:r>
      <w:r w:rsidR="009D4642" w:rsidRPr="00E54204">
        <w:rPr>
          <w:szCs w:val="20"/>
        </w:rPr>
        <w:t xml:space="preserve"> nine,</w:t>
      </w:r>
      <w:r w:rsidR="00AC7559" w:rsidRPr="00E54204">
        <w:rPr>
          <w:szCs w:val="20"/>
        </w:rPr>
        <w:t xml:space="preserve"> </w:t>
      </w:r>
      <w:r w:rsidR="00B17D42" w:rsidRPr="00E54204">
        <w:rPr>
          <w:szCs w:val="20"/>
        </w:rPr>
        <w:t>God</w:t>
      </w:r>
      <w:r w:rsidR="00AC7559" w:rsidRPr="00E54204">
        <w:rPr>
          <w:szCs w:val="20"/>
        </w:rPr>
        <w:t xml:space="preserve"> answers Daniel’s prayers by sending </w:t>
      </w:r>
      <w:r w:rsidR="00C454DF" w:rsidRPr="00E54204">
        <w:rPr>
          <w:szCs w:val="20"/>
        </w:rPr>
        <w:t>Gabriel</w:t>
      </w:r>
      <w:r w:rsidR="00B17D42" w:rsidRPr="00E54204">
        <w:rPr>
          <w:szCs w:val="20"/>
        </w:rPr>
        <w:t xml:space="preserve"> and </w:t>
      </w:r>
      <w:r w:rsidR="00AC7559" w:rsidRPr="00E54204">
        <w:rPr>
          <w:szCs w:val="20"/>
        </w:rPr>
        <w:t xml:space="preserve">disclosing </w:t>
      </w:r>
      <w:r w:rsidR="00C454DF" w:rsidRPr="00E54204">
        <w:rPr>
          <w:szCs w:val="20"/>
        </w:rPr>
        <w:t>the interpretation of</w:t>
      </w:r>
      <w:r w:rsidR="00AC7559" w:rsidRPr="00E54204">
        <w:rPr>
          <w:szCs w:val="20"/>
        </w:rPr>
        <w:t xml:space="preserve"> the passage from</w:t>
      </w:r>
      <w:r w:rsidR="00C454DF" w:rsidRPr="00E54204">
        <w:rPr>
          <w:szCs w:val="20"/>
        </w:rPr>
        <w:t xml:space="preserve"> Jeremiah 25: 9-12</w:t>
      </w:r>
      <w:r w:rsidR="00AC7559" w:rsidRPr="00E54204">
        <w:rPr>
          <w:szCs w:val="20"/>
        </w:rPr>
        <w:t xml:space="preserve"> which states that the nations (Judah included) would serve the king of Babylon for seventy years until they would in turn receive </w:t>
      </w:r>
      <w:r w:rsidR="009433C7" w:rsidRPr="00E54204">
        <w:rPr>
          <w:szCs w:val="20"/>
        </w:rPr>
        <w:t>judgement from on high.  Jassen</w:t>
      </w:r>
      <w:r w:rsidR="00AC7559" w:rsidRPr="00E54204">
        <w:rPr>
          <w:szCs w:val="20"/>
        </w:rPr>
        <w:t xml:space="preserve"> thus explains this new form of prophetic revelation as, “th</w:t>
      </w:r>
      <w:r w:rsidR="00123742" w:rsidRPr="00E54204">
        <w:rPr>
          <w:szCs w:val="20"/>
        </w:rPr>
        <w:t>e careful interpretation and reapplication of the Scriptural record actualizes the divine communication.”</w:t>
      </w:r>
      <w:r w:rsidR="00123742" w:rsidRPr="00E54204">
        <w:rPr>
          <w:rStyle w:val="FootnoteReference"/>
          <w:szCs w:val="20"/>
        </w:rPr>
        <w:footnoteReference w:id="168"/>
      </w:r>
      <w:r w:rsidR="00C454DF" w:rsidRPr="00E54204">
        <w:rPr>
          <w:szCs w:val="20"/>
        </w:rPr>
        <w:t xml:space="preserve"> </w:t>
      </w:r>
      <w:r w:rsidRPr="00E54204">
        <w:rPr>
          <w:szCs w:val="20"/>
        </w:rPr>
        <w:t xml:space="preserve">  Despite the rabbis’ statement that prophecy ceased with the death of Malachi, Haggai, and Zechariah,</w:t>
      </w:r>
      <w:r w:rsidRPr="00E54204">
        <w:rPr>
          <w:szCs w:val="20"/>
          <w:vertAlign w:val="superscript"/>
        </w:rPr>
        <w:t xml:space="preserve"> </w:t>
      </w:r>
      <w:r w:rsidRPr="00E54204">
        <w:rPr>
          <w:szCs w:val="20"/>
          <w:vertAlign w:val="superscript"/>
        </w:rPr>
        <w:footnoteReference w:id="169"/>
      </w:r>
      <w:r w:rsidRPr="00E54204">
        <w:rPr>
          <w:szCs w:val="20"/>
        </w:rPr>
        <w:t xml:space="preserve"> scholars have discerned a more nuanced reality, </w:t>
      </w:r>
      <w:r w:rsidRPr="00E54204">
        <w:rPr>
          <w:szCs w:val="20"/>
        </w:rPr>
        <w:lastRenderedPageBreak/>
        <w:t>suggesting that there were actually degrees of prophecy instead.</w:t>
      </w:r>
      <w:r w:rsidRPr="00E54204">
        <w:rPr>
          <w:szCs w:val="20"/>
          <w:vertAlign w:val="superscript"/>
        </w:rPr>
        <w:footnoteReference w:id="170"/>
      </w:r>
      <w:r w:rsidR="009D4642" w:rsidRPr="00E54204">
        <w:rPr>
          <w:szCs w:val="20"/>
        </w:rPr>
        <w:t xml:space="preserve">  Furthermore, the book of Daniel is</w:t>
      </w:r>
      <w:r w:rsidRPr="00E54204">
        <w:rPr>
          <w:szCs w:val="20"/>
        </w:rPr>
        <w:t xml:space="preserve"> considered one of the earliest samples of an apocalyptic work and its similarities with apocalyptic literature through possible direct influence has been noted by scholars like John Collins.</w:t>
      </w:r>
      <w:r w:rsidRPr="00E54204">
        <w:rPr>
          <w:szCs w:val="20"/>
          <w:vertAlign w:val="superscript"/>
        </w:rPr>
        <w:footnoteReference w:id="171"/>
      </w:r>
      <w:r w:rsidRPr="00E54204">
        <w:rPr>
          <w:szCs w:val="20"/>
        </w:rPr>
        <w:t xml:space="preserve">  </w:t>
      </w:r>
    </w:p>
    <w:p w14:paraId="3D01ED6D" w14:textId="77777777" w:rsidR="00AA1903" w:rsidRPr="00E54204" w:rsidRDefault="009A5E7E" w:rsidP="00AA1903">
      <w:pPr>
        <w:spacing w:after="160"/>
        <w:rPr>
          <w:i/>
          <w:szCs w:val="20"/>
        </w:rPr>
      </w:pPr>
      <w:r w:rsidRPr="00E54204">
        <w:rPr>
          <w:szCs w:val="20"/>
        </w:rPr>
        <w:t>A.</w:t>
      </w:r>
      <w:r w:rsidRPr="00E54204">
        <w:rPr>
          <w:szCs w:val="20"/>
        </w:rPr>
        <w:tab/>
      </w:r>
      <w:r w:rsidRPr="00E54204">
        <w:rPr>
          <w:i/>
          <w:szCs w:val="20"/>
        </w:rPr>
        <w:t>Biblical Examples</w:t>
      </w:r>
      <w:r w:rsidR="00EC6221" w:rsidRPr="00E54204">
        <w:rPr>
          <w:i/>
          <w:szCs w:val="20"/>
        </w:rPr>
        <w:t>:</w:t>
      </w:r>
    </w:p>
    <w:p w14:paraId="0DFE521B" w14:textId="77777777" w:rsidR="00AA1903" w:rsidRPr="00E54204" w:rsidRDefault="00AA1903" w:rsidP="004D6D82">
      <w:pPr>
        <w:spacing w:after="160"/>
        <w:ind w:firstLine="720"/>
        <w:rPr>
          <w:szCs w:val="20"/>
        </w:rPr>
      </w:pPr>
      <w:r w:rsidRPr="00E54204">
        <w:rPr>
          <w:szCs w:val="20"/>
        </w:rPr>
        <w:t>The first passage</w:t>
      </w:r>
      <w:r w:rsidR="002B2998" w:rsidRPr="00E54204">
        <w:rPr>
          <w:szCs w:val="20"/>
        </w:rPr>
        <w:t xml:space="preserve"> to which</w:t>
      </w:r>
      <w:r w:rsidRPr="00E54204">
        <w:rPr>
          <w:szCs w:val="20"/>
        </w:rPr>
        <w:t xml:space="preserve"> I wish t</w:t>
      </w:r>
      <w:r w:rsidR="002B2998" w:rsidRPr="00E54204">
        <w:rPr>
          <w:szCs w:val="20"/>
        </w:rPr>
        <w:t>o draw the reader’s attention is</w:t>
      </w:r>
      <w:r w:rsidRPr="00E54204">
        <w:rPr>
          <w:szCs w:val="20"/>
        </w:rPr>
        <w:t xml:space="preserve"> the </w:t>
      </w:r>
      <w:r w:rsidR="002B2998" w:rsidRPr="00E54204">
        <w:rPr>
          <w:szCs w:val="20"/>
        </w:rPr>
        <w:t>fourth chapter of Daniel</w:t>
      </w:r>
      <w:r w:rsidRPr="00E54204">
        <w:rPr>
          <w:szCs w:val="20"/>
        </w:rPr>
        <w:t xml:space="preserve"> where</w:t>
      </w:r>
      <w:r w:rsidR="002B2998" w:rsidRPr="00E54204">
        <w:rPr>
          <w:szCs w:val="20"/>
        </w:rPr>
        <w:t xml:space="preserve"> a disembodied voice announces God’s judgment on King Nebuchadnezzar.</w:t>
      </w:r>
      <w:r w:rsidR="00FC5D21" w:rsidRPr="00E54204">
        <w:rPr>
          <w:szCs w:val="20"/>
        </w:rPr>
        <w:t xml:space="preserve">  This story seems to best resemble rabbinic stories that describe a </w:t>
      </w:r>
      <w:r w:rsidR="00FC5D21" w:rsidRPr="00E54204">
        <w:rPr>
          <w:i/>
          <w:szCs w:val="20"/>
        </w:rPr>
        <w:t>bat kol</w:t>
      </w:r>
      <w:r w:rsidR="00FC5D21" w:rsidRPr="00E54204">
        <w:rPr>
          <w:szCs w:val="20"/>
        </w:rPr>
        <w:t xml:space="preserve"> in characters and method of revelation.  </w:t>
      </w:r>
      <w:r w:rsidR="00046776" w:rsidRPr="00E54204">
        <w:rPr>
          <w:szCs w:val="20"/>
        </w:rPr>
        <w:t>The</w:t>
      </w:r>
      <w:r w:rsidR="0034408D" w:rsidRPr="00E54204">
        <w:rPr>
          <w:szCs w:val="20"/>
        </w:rPr>
        <w:t xml:space="preserve"> Biblical account states that a voice</w:t>
      </w:r>
      <w:r w:rsidR="00046776" w:rsidRPr="00E54204">
        <w:rPr>
          <w:szCs w:val="20"/>
        </w:rPr>
        <w:t xml:space="preserve"> literally “fell from the heavens.”</w:t>
      </w:r>
      <w:r w:rsidR="00046776" w:rsidRPr="00E54204">
        <w:rPr>
          <w:szCs w:val="20"/>
          <w:vertAlign w:val="superscript"/>
        </w:rPr>
        <w:footnoteReference w:id="172"/>
      </w:r>
      <w:r w:rsidR="0034408D" w:rsidRPr="00E54204">
        <w:rPr>
          <w:szCs w:val="20"/>
        </w:rPr>
        <w:t xml:space="preserve">  </w:t>
      </w:r>
      <w:r w:rsidR="002B2998" w:rsidRPr="00E54204">
        <w:rPr>
          <w:szCs w:val="20"/>
        </w:rPr>
        <w:t xml:space="preserve">Verse 30 states that at the time </w:t>
      </w:r>
      <w:r w:rsidRPr="00E54204">
        <w:rPr>
          <w:szCs w:val="20"/>
        </w:rPr>
        <w:t xml:space="preserve">Nebuchadnezzar was admiring his kingdom in his grandiose royal residence. </w:t>
      </w:r>
      <w:r w:rsidRPr="00E54204">
        <w:rPr>
          <w:bCs/>
          <w:szCs w:val="20"/>
        </w:rPr>
        <w:t>It was as if Nebuchadnezzar, in boasting about his accomplishments, was f</w:t>
      </w:r>
      <w:r w:rsidR="002B2998" w:rsidRPr="00E54204">
        <w:rPr>
          <w:bCs/>
          <w:szCs w:val="20"/>
        </w:rPr>
        <w:t xml:space="preserve">oolishly directing himself </w:t>
      </w:r>
      <w:r w:rsidRPr="00E54204">
        <w:rPr>
          <w:bCs/>
          <w:szCs w:val="20"/>
        </w:rPr>
        <w:t>to heaven.  Then</w:t>
      </w:r>
      <w:r w:rsidRPr="00E54204">
        <w:rPr>
          <w:szCs w:val="20"/>
        </w:rPr>
        <w:t xml:space="preserve"> in verse thirty-one, the narrative is interrupted with the phrase,</w:t>
      </w:r>
      <w:r w:rsidRPr="00E54204">
        <w:rPr>
          <w:rFonts w:cs="Times New Roman"/>
          <w:szCs w:val="20"/>
          <w:vertAlign w:val="superscript"/>
          <w:rtl/>
          <w:lang w:bidi="he-IL"/>
        </w:rPr>
        <w:t xml:space="preserve"> </w:t>
      </w:r>
      <w:r w:rsidRPr="00E54204">
        <w:rPr>
          <w:rFonts w:cs="Times New Roman"/>
          <w:szCs w:val="20"/>
          <w:vertAlign w:val="superscript"/>
          <w:rtl/>
          <w:lang w:bidi="he-IL"/>
        </w:rPr>
        <w:footnoteReference w:id="173"/>
      </w:r>
      <w:r w:rsidRPr="00E54204">
        <w:rPr>
          <w:szCs w:val="20"/>
        </w:rPr>
        <w:t xml:space="preserve"> </w:t>
      </w:r>
      <w:r w:rsidRPr="00E54204">
        <w:rPr>
          <w:rFonts w:cs="Times New Roman"/>
          <w:szCs w:val="20"/>
          <w:rtl/>
          <w:lang w:bidi="he-IL"/>
        </w:rPr>
        <w:t>מלכא</w:t>
      </w:r>
      <w:r w:rsidRPr="00E54204">
        <w:rPr>
          <w:szCs w:val="20"/>
        </w:rPr>
        <w:t xml:space="preserve"> </w:t>
      </w:r>
      <w:r w:rsidRPr="00E54204">
        <w:rPr>
          <w:rFonts w:cs="Times New Roman"/>
          <w:szCs w:val="20"/>
          <w:rtl/>
          <w:lang w:bidi="he-IL"/>
        </w:rPr>
        <w:t>בפם</w:t>
      </w:r>
      <w:r w:rsidRPr="00E54204">
        <w:rPr>
          <w:szCs w:val="20"/>
        </w:rPr>
        <w:t xml:space="preserve"> </w:t>
      </w:r>
      <w:r w:rsidRPr="00E54204">
        <w:rPr>
          <w:rFonts w:cs="Times New Roman"/>
          <w:szCs w:val="20"/>
          <w:rtl/>
          <w:lang w:bidi="he-IL"/>
        </w:rPr>
        <w:t>מלתא</w:t>
      </w:r>
      <w:r w:rsidRPr="00E54204">
        <w:rPr>
          <w:szCs w:val="20"/>
        </w:rPr>
        <w:t xml:space="preserve"> </w:t>
      </w:r>
      <w:r w:rsidRPr="00E54204">
        <w:rPr>
          <w:rFonts w:cs="Times New Roman"/>
          <w:szCs w:val="20"/>
          <w:rtl/>
          <w:lang w:bidi="he-IL"/>
        </w:rPr>
        <w:t>עוד</w:t>
      </w:r>
      <w:r w:rsidRPr="00E54204">
        <w:rPr>
          <w:rFonts w:cs="Times New Roman" w:hint="cs"/>
          <w:szCs w:val="20"/>
          <w:rtl/>
          <w:lang w:bidi="he-IL"/>
        </w:rPr>
        <w:t xml:space="preserve"> </w:t>
      </w:r>
      <w:r w:rsidRPr="00E54204">
        <w:rPr>
          <w:szCs w:val="20"/>
        </w:rPr>
        <w:t xml:space="preserve"> or “while he was still speaking” and continues, </w:t>
      </w:r>
      <w:r w:rsidRPr="00E54204">
        <w:rPr>
          <w:rFonts w:cs="Times New Roman"/>
          <w:szCs w:val="20"/>
          <w:rtl/>
          <w:lang w:bidi="he-IL"/>
        </w:rPr>
        <w:t>מנך</w:t>
      </w:r>
      <w:r w:rsidRPr="00E54204">
        <w:rPr>
          <w:szCs w:val="20"/>
        </w:rPr>
        <w:t xml:space="preserve"> </w:t>
      </w:r>
      <w:r w:rsidRPr="00E54204">
        <w:rPr>
          <w:rFonts w:cs="Times New Roman"/>
          <w:szCs w:val="20"/>
          <w:rtl/>
          <w:lang w:bidi="he-IL"/>
        </w:rPr>
        <w:t>עדת</w:t>
      </w:r>
      <w:r w:rsidRPr="00E54204">
        <w:rPr>
          <w:szCs w:val="20"/>
        </w:rPr>
        <w:t xml:space="preserve"> </w:t>
      </w:r>
      <w:r w:rsidRPr="00E54204">
        <w:rPr>
          <w:rFonts w:cs="Times New Roman"/>
          <w:szCs w:val="20"/>
          <w:rtl/>
          <w:lang w:bidi="he-IL"/>
        </w:rPr>
        <w:t>מלכותה</w:t>
      </w:r>
      <w:r w:rsidRPr="00E54204">
        <w:rPr>
          <w:szCs w:val="20"/>
        </w:rPr>
        <w:t xml:space="preserve"> </w:t>
      </w:r>
      <w:r w:rsidRPr="00E54204">
        <w:rPr>
          <w:rFonts w:cs="Times New Roman"/>
          <w:szCs w:val="20"/>
          <w:rtl/>
          <w:lang w:bidi="he-IL"/>
        </w:rPr>
        <w:t>מלכא</w:t>
      </w:r>
      <w:r w:rsidRPr="00E54204">
        <w:rPr>
          <w:szCs w:val="20"/>
        </w:rPr>
        <w:t xml:space="preserve"> </w:t>
      </w:r>
      <w:r w:rsidRPr="00E54204">
        <w:rPr>
          <w:rFonts w:cs="Times New Roman"/>
          <w:szCs w:val="20"/>
          <w:rtl/>
          <w:lang w:bidi="he-IL"/>
        </w:rPr>
        <w:t>נבוכדנצר</w:t>
      </w:r>
      <w:r w:rsidRPr="00E54204">
        <w:rPr>
          <w:szCs w:val="20"/>
        </w:rPr>
        <w:t xml:space="preserve"> </w:t>
      </w:r>
      <w:r w:rsidRPr="00E54204">
        <w:rPr>
          <w:rFonts w:cs="Times New Roman"/>
          <w:szCs w:val="20"/>
          <w:rtl/>
          <w:lang w:bidi="he-IL"/>
        </w:rPr>
        <w:t>אמרין</w:t>
      </w:r>
      <w:r w:rsidRPr="00E54204">
        <w:rPr>
          <w:szCs w:val="20"/>
        </w:rPr>
        <w:t xml:space="preserve"> </w:t>
      </w:r>
      <w:r w:rsidRPr="00E54204">
        <w:rPr>
          <w:rFonts w:cs="Times New Roman"/>
          <w:szCs w:val="20"/>
          <w:rtl/>
          <w:lang w:bidi="he-IL"/>
        </w:rPr>
        <w:t>לך</w:t>
      </w:r>
      <w:r w:rsidRPr="00E54204">
        <w:rPr>
          <w:szCs w:val="20"/>
        </w:rPr>
        <w:t xml:space="preserve"> </w:t>
      </w:r>
      <w:r w:rsidRPr="00E54204">
        <w:rPr>
          <w:rFonts w:cs="Times New Roman"/>
          <w:szCs w:val="20"/>
          <w:rtl/>
          <w:lang w:bidi="he-IL"/>
        </w:rPr>
        <w:t>נפל</w:t>
      </w:r>
      <w:r w:rsidRPr="00E54204">
        <w:rPr>
          <w:szCs w:val="20"/>
        </w:rPr>
        <w:t xml:space="preserve"> </w:t>
      </w:r>
      <w:r w:rsidRPr="00E54204">
        <w:rPr>
          <w:rFonts w:cs="Times New Roman"/>
          <w:szCs w:val="20"/>
          <w:rtl/>
          <w:lang w:bidi="he-IL"/>
        </w:rPr>
        <w:t>שמיא</w:t>
      </w:r>
      <w:r w:rsidRPr="00E54204">
        <w:rPr>
          <w:szCs w:val="20"/>
        </w:rPr>
        <w:t xml:space="preserve"> </w:t>
      </w:r>
      <w:r w:rsidRPr="00E54204">
        <w:rPr>
          <w:rFonts w:cs="Times New Roman"/>
          <w:szCs w:val="20"/>
          <w:rtl/>
          <w:lang w:bidi="he-IL"/>
        </w:rPr>
        <w:t>מן</w:t>
      </w:r>
      <w:r w:rsidRPr="00E54204">
        <w:rPr>
          <w:szCs w:val="20"/>
        </w:rPr>
        <w:t xml:space="preserve"> </w:t>
      </w:r>
      <w:r w:rsidRPr="00E54204">
        <w:rPr>
          <w:rFonts w:cs="Times New Roman"/>
          <w:szCs w:val="20"/>
          <w:rtl/>
          <w:lang w:bidi="he-IL"/>
        </w:rPr>
        <w:t>קל</w:t>
      </w:r>
      <w:r w:rsidRPr="00E54204">
        <w:rPr>
          <w:szCs w:val="20"/>
        </w:rPr>
        <w:t xml:space="preserve">  a “voice from heaven fell [saying] to you it is said king Nebuchadnezzar the kingdom is taken away from you!”  </w:t>
      </w:r>
    </w:p>
    <w:p w14:paraId="70A091AC" w14:textId="77777777" w:rsidR="00AA1903" w:rsidRPr="00E54204" w:rsidRDefault="00AA1903" w:rsidP="00046776">
      <w:pPr>
        <w:spacing w:after="160"/>
        <w:ind w:firstLine="720"/>
        <w:rPr>
          <w:szCs w:val="20"/>
        </w:rPr>
      </w:pPr>
      <w:r w:rsidRPr="00E54204">
        <w:rPr>
          <w:szCs w:val="20"/>
        </w:rPr>
        <w:lastRenderedPageBreak/>
        <w:t xml:space="preserve">Perhaps the most striking resemblance between this Biblical story and the rabbinic </w:t>
      </w:r>
      <w:r w:rsidRPr="00E54204">
        <w:rPr>
          <w:i/>
          <w:szCs w:val="20"/>
        </w:rPr>
        <w:t>bat kol</w:t>
      </w:r>
      <w:r w:rsidR="00046776" w:rsidRPr="00E54204">
        <w:rPr>
          <w:szCs w:val="20"/>
        </w:rPr>
        <w:t xml:space="preserve"> is the phrase introducing</w:t>
      </w:r>
      <w:r w:rsidRPr="00E54204">
        <w:rPr>
          <w:szCs w:val="20"/>
        </w:rPr>
        <w:t xml:space="preserve"> it.  In rabbinic writings the </w:t>
      </w:r>
      <w:r w:rsidRPr="00E54204">
        <w:rPr>
          <w:i/>
          <w:szCs w:val="20"/>
        </w:rPr>
        <w:t>bat kol</w:t>
      </w:r>
      <w:r w:rsidRPr="00E54204">
        <w:rPr>
          <w:szCs w:val="20"/>
        </w:rPr>
        <w:t xml:space="preserve"> is introduced in Hebrew as: </w:t>
      </w:r>
      <w:r w:rsidRPr="00E54204">
        <w:rPr>
          <w:rFonts w:cs="Times New Roman"/>
          <w:szCs w:val="20"/>
          <w:rtl/>
          <w:lang w:bidi="he-IL"/>
        </w:rPr>
        <w:t>ואמרה</w:t>
      </w:r>
      <w:r w:rsidR="00A0386A" w:rsidRPr="00E54204">
        <w:rPr>
          <w:szCs w:val="20"/>
        </w:rPr>
        <w:t xml:space="preserve"> (</w:t>
      </w:r>
      <w:r w:rsidRPr="00E54204">
        <w:rPr>
          <w:rFonts w:cs="Times New Roman"/>
          <w:szCs w:val="20"/>
          <w:rtl/>
          <w:lang w:bidi="he-IL"/>
        </w:rPr>
        <w:t>השמים</w:t>
      </w:r>
      <w:r w:rsidRPr="00E54204">
        <w:rPr>
          <w:szCs w:val="20"/>
        </w:rPr>
        <w:t xml:space="preserve"> </w:t>
      </w:r>
      <w:r w:rsidRPr="00E54204">
        <w:rPr>
          <w:rFonts w:cs="Times New Roman"/>
          <w:szCs w:val="20"/>
          <w:rtl/>
          <w:lang w:bidi="he-IL"/>
        </w:rPr>
        <w:t>מן</w:t>
      </w:r>
      <w:r w:rsidRPr="00E54204">
        <w:rPr>
          <w:szCs w:val="20"/>
        </w:rPr>
        <w:t xml:space="preserve">) </w:t>
      </w:r>
      <w:r w:rsidRPr="00E54204">
        <w:rPr>
          <w:rFonts w:cs="Times New Roman"/>
          <w:szCs w:val="20"/>
          <w:rtl/>
          <w:lang w:bidi="he-IL"/>
        </w:rPr>
        <w:t>קול</w:t>
      </w:r>
      <w:r w:rsidRPr="00E54204">
        <w:rPr>
          <w:szCs w:val="20"/>
        </w:rPr>
        <w:t xml:space="preserve"> </w:t>
      </w:r>
      <w:r w:rsidRPr="00E54204">
        <w:rPr>
          <w:rFonts w:cs="Times New Roman"/>
          <w:szCs w:val="20"/>
          <w:rtl/>
          <w:lang w:bidi="he-IL"/>
        </w:rPr>
        <w:t>בת</w:t>
      </w:r>
      <w:r w:rsidRPr="00E54204">
        <w:rPr>
          <w:szCs w:val="20"/>
        </w:rPr>
        <w:t xml:space="preserve"> </w:t>
      </w:r>
      <w:r w:rsidRPr="00E54204">
        <w:rPr>
          <w:rFonts w:cs="Times New Roman"/>
          <w:szCs w:val="20"/>
          <w:rtl/>
          <w:lang w:bidi="he-IL"/>
        </w:rPr>
        <w:t>יצאה</w:t>
      </w:r>
      <w:r w:rsidRPr="00E54204">
        <w:rPr>
          <w:rFonts w:cs="Times New Roman" w:hint="cs"/>
          <w:szCs w:val="20"/>
          <w:rtl/>
          <w:lang w:bidi="he-IL"/>
        </w:rPr>
        <w:t xml:space="preserve"> </w:t>
      </w:r>
      <w:r w:rsidR="0042054D" w:rsidRPr="00E54204">
        <w:rPr>
          <w:szCs w:val="20"/>
        </w:rPr>
        <w:t xml:space="preserve"> </w:t>
      </w:r>
      <w:r w:rsidRPr="00E54204">
        <w:rPr>
          <w:szCs w:val="20"/>
        </w:rPr>
        <w:t xml:space="preserve">(“a </w:t>
      </w:r>
      <w:r w:rsidR="000856EC" w:rsidRPr="00E54204">
        <w:rPr>
          <w:szCs w:val="20"/>
        </w:rPr>
        <w:t>daughter of a voice went forth [from heaven]</w:t>
      </w:r>
      <w:r w:rsidRPr="00E54204">
        <w:rPr>
          <w:szCs w:val="20"/>
        </w:rPr>
        <w:t xml:space="preserve"> and said…”)</w:t>
      </w:r>
      <w:r w:rsidR="00361E55" w:rsidRPr="00E54204">
        <w:rPr>
          <w:szCs w:val="20"/>
        </w:rPr>
        <w:t xml:space="preserve"> </w:t>
      </w:r>
      <w:r w:rsidRPr="00E54204">
        <w:rPr>
          <w:szCs w:val="20"/>
        </w:rPr>
        <w:t xml:space="preserve">and less commonly in Aramaic: </w:t>
      </w:r>
      <w:r w:rsidRPr="00E54204">
        <w:rPr>
          <w:rFonts w:cs="Times New Roman"/>
          <w:szCs w:val="20"/>
          <w:rtl/>
          <w:lang w:bidi="he-IL"/>
        </w:rPr>
        <w:t>קלא</w:t>
      </w:r>
      <w:r w:rsidRPr="00E54204">
        <w:rPr>
          <w:szCs w:val="20"/>
        </w:rPr>
        <w:t xml:space="preserve"> </w:t>
      </w:r>
      <w:r w:rsidRPr="00E54204">
        <w:rPr>
          <w:rFonts w:cs="Times New Roman"/>
          <w:szCs w:val="20"/>
          <w:rtl/>
          <w:lang w:bidi="he-IL"/>
        </w:rPr>
        <w:t>ברת</w:t>
      </w:r>
      <w:r w:rsidRPr="00E54204">
        <w:rPr>
          <w:szCs w:val="20"/>
        </w:rPr>
        <w:t xml:space="preserve"> </w:t>
      </w:r>
      <w:r w:rsidRPr="00E54204">
        <w:rPr>
          <w:rFonts w:cs="Times New Roman"/>
          <w:szCs w:val="20"/>
          <w:rtl/>
          <w:lang w:bidi="he-IL"/>
        </w:rPr>
        <w:t>נפקת</w:t>
      </w:r>
      <w:r w:rsidRPr="00E54204">
        <w:rPr>
          <w:szCs w:val="20"/>
        </w:rPr>
        <w:t xml:space="preserve"> (“a daughter of a voice went forth…”).</w:t>
      </w:r>
      <w:r w:rsidR="00361E55" w:rsidRPr="00E54204">
        <w:rPr>
          <w:szCs w:val="20"/>
        </w:rPr>
        <w:t xml:space="preserve">  </w:t>
      </w:r>
      <w:r w:rsidRPr="00E54204">
        <w:rPr>
          <w:szCs w:val="20"/>
        </w:rPr>
        <w:t>This typical Hebrew p</w:t>
      </w:r>
      <w:r w:rsidR="00FA7513" w:rsidRPr="00E54204">
        <w:rPr>
          <w:szCs w:val="20"/>
        </w:rPr>
        <w:t>hrase relates the same meaning a</w:t>
      </w:r>
      <w:r w:rsidRPr="00E54204">
        <w:rPr>
          <w:szCs w:val="20"/>
        </w:rPr>
        <w:t>s the Aramaic in Daniel chapter four.</w:t>
      </w:r>
      <w:r w:rsidRPr="00E54204">
        <w:rPr>
          <w:szCs w:val="20"/>
          <w:vertAlign w:val="superscript"/>
        </w:rPr>
        <w:footnoteReference w:id="174"/>
      </w:r>
      <w:r w:rsidR="00046776" w:rsidRPr="00E54204">
        <w:rPr>
          <w:szCs w:val="20"/>
        </w:rPr>
        <w:t xml:space="preserve">  The heavenly judgment was impromptu, though King Nebuchadnezzar</w:t>
      </w:r>
      <w:r w:rsidRPr="00E54204">
        <w:rPr>
          <w:szCs w:val="20"/>
        </w:rPr>
        <w:t xml:space="preserve"> was forewarned through Daniel</w:t>
      </w:r>
      <w:r w:rsidR="00046776" w:rsidRPr="00E54204">
        <w:rPr>
          <w:szCs w:val="20"/>
        </w:rPr>
        <w:t>’s earlier interpretation of the king’s</w:t>
      </w:r>
      <w:r w:rsidRPr="00E54204">
        <w:rPr>
          <w:szCs w:val="20"/>
        </w:rPr>
        <w:t xml:space="preserve"> second dream.  The interpretation was that his kingship would be temporarily suspended until he realized that all sovereignty and dominion belongs to God and He delegates such to whomever He pleases.</w:t>
      </w:r>
      <w:r w:rsidRPr="00E54204">
        <w:rPr>
          <w:szCs w:val="20"/>
          <w:vertAlign w:val="superscript"/>
        </w:rPr>
        <w:footnoteReference w:id="175"/>
      </w:r>
      <w:r w:rsidR="00964540" w:rsidRPr="00E54204">
        <w:rPr>
          <w:szCs w:val="20"/>
        </w:rPr>
        <w:t xml:space="preserve">  Turning to </w:t>
      </w:r>
      <w:r w:rsidRPr="00E54204">
        <w:rPr>
          <w:szCs w:val="20"/>
        </w:rPr>
        <w:t xml:space="preserve">the </w:t>
      </w:r>
      <w:r w:rsidRPr="00E54204">
        <w:rPr>
          <w:i/>
          <w:szCs w:val="20"/>
        </w:rPr>
        <w:t>bat kol</w:t>
      </w:r>
      <w:r w:rsidRPr="00E54204">
        <w:rPr>
          <w:szCs w:val="20"/>
        </w:rPr>
        <w:t xml:space="preserve"> </w:t>
      </w:r>
      <w:r w:rsidR="00964540" w:rsidRPr="00E54204">
        <w:rPr>
          <w:szCs w:val="20"/>
        </w:rPr>
        <w:t xml:space="preserve">we find that it </w:t>
      </w:r>
      <w:r w:rsidRPr="00E54204">
        <w:rPr>
          <w:szCs w:val="20"/>
        </w:rPr>
        <w:t>appears most of the time unannounced, withholds the identity of the speaker,</w:t>
      </w:r>
      <w:r w:rsidRPr="00E54204">
        <w:rPr>
          <w:szCs w:val="20"/>
          <w:vertAlign w:val="superscript"/>
        </w:rPr>
        <w:footnoteReference w:id="176"/>
      </w:r>
      <w:r w:rsidRPr="00E54204">
        <w:rPr>
          <w:szCs w:val="20"/>
        </w:rPr>
        <w:t xml:space="preserve"> and regularly announces decrees of jud</w:t>
      </w:r>
      <w:r w:rsidR="00964540" w:rsidRPr="00E54204">
        <w:rPr>
          <w:szCs w:val="20"/>
        </w:rPr>
        <w:t xml:space="preserve">gment over certain individuals </w:t>
      </w:r>
      <w:r w:rsidRPr="00E54204">
        <w:rPr>
          <w:szCs w:val="20"/>
        </w:rPr>
        <w:t>for better or for worse.  The Biblical account states that it literally “fell from the heavens.”</w:t>
      </w:r>
      <w:r w:rsidR="008E064F" w:rsidRPr="00E54204">
        <w:rPr>
          <w:szCs w:val="20"/>
        </w:rPr>
        <w:t xml:space="preserve"> </w:t>
      </w:r>
      <w:r w:rsidR="0034408D" w:rsidRPr="00E54204">
        <w:rPr>
          <w:szCs w:val="20"/>
        </w:rPr>
        <w:t>More than</w:t>
      </w:r>
      <w:r w:rsidRPr="00E54204">
        <w:rPr>
          <w:szCs w:val="20"/>
        </w:rPr>
        <w:t xml:space="preserve"> locatio</w:t>
      </w:r>
      <w:r w:rsidR="00D43D48" w:rsidRPr="00E54204">
        <w:rPr>
          <w:szCs w:val="20"/>
        </w:rPr>
        <w:t>n from where the message emanates, the description of</w:t>
      </w:r>
      <w:r w:rsidR="0034408D" w:rsidRPr="00E54204">
        <w:rPr>
          <w:szCs w:val="20"/>
        </w:rPr>
        <w:t xml:space="preserve"> falling “from the heavens”</w:t>
      </w:r>
      <w:r w:rsidRPr="00E54204">
        <w:rPr>
          <w:szCs w:val="20"/>
        </w:rPr>
        <w:t xml:space="preserve">, </w:t>
      </w:r>
      <w:r w:rsidR="0034408D" w:rsidRPr="00E54204">
        <w:rPr>
          <w:szCs w:val="20"/>
        </w:rPr>
        <w:t xml:space="preserve">denotes </w:t>
      </w:r>
      <w:r w:rsidR="00D43D48" w:rsidRPr="00E54204">
        <w:rPr>
          <w:szCs w:val="20"/>
        </w:rPr>
        <w:t>the overlap of the spiritual with the physical.</w:t>
      </w:r>
    </w:p>
    <w:p w14:paraId="5B0178B5" w14:textId="77777777" w:rsidR="00AA1903" w:rsidRPr="00E54204" w:rsidRDefault="00AA1903" w:rsidP="00AA1903">
      <w:pPr>
        <w:spacing w:after="160"/>
        <w:rPr>
          <w:szCs w:val="20"/>
        </w:rPr>
      </w:pPr>
      <w:r w:rsidRPr="00E54204">
        <w:rPr>
          <w:szCs w:val="20"/>
        </w:rPr>
        <w:t xml:space="preserve"> </w:t>
      </w:r>
      <w:r w:rsidR="004D6D82" w:rsidRPr="00E54204">
        <w:rPr>
          <w:szCs w:val="20"/>
        </w:rPr>
        <w:tab/>
      </w:r>
      <w:r w:rsidRPr="00E54204">
        <w:rPr>
          <w:szCs w:val="20"/>
        </w:rPr>
        <w:t xml:space="preserve"> It is not surprising then to find in the Talmud creative embellishments of Nebuchadnezzar while introducing the </w:t>
      </w:r>
      <w:r w:rsidRPr="00E54204">
        <w:rPr>
          <w:i/>
          <w:szCs w:val="20"/>
        </w:rPr>
        <w:t>bat kol</w:t>
      </w:r>
      <w:r w:rsidRPr="00E54204">
        <w:rPr>
          <w:szCs w:val="20"/>
        </w:rPr>
        <w:t xml:space="preserve">.  Such an example is found in the Babylonian Talmud, tractate </w:t>
      </w:r>
      <w:r w:rsidRPr="00E54204">
        <w:rPr>
          <w:i/>
          <w:szCs w:val="20"/>
        </w:rPr>
        <w:t>Pesachim</w:t>
      </w:r>
      <w:r w:rsidRPr="00E54204">
        <w:rPr>
          <w:szCs w:val="20"/>
        </w:rPr>
        <w:t xml:space="preserve"> 94a where we read that Rabbi Yohanan ben </w:t>
      </w:r>
      <w:r w:rsidRPr="00E54204">
        <w:rPr>
          <w:szCs w:val="20"/>
        </w:rPr>
        <w:lastRenderedPageBreak/>
        <w:t xml:space="preserve">Zakkai asks, “What rejoinder did the </w:t>
      </w:r>
      <w:r w:rsidRPr="00E54204">
        <w:rPr>
          <w:i/>
          <w:szCs w:val="20"/>
        </w:rPr>
        <w:t>bat kol</w:t>
      </w:r>
      <w:r w:rsidRPr="00E54204">
        <w:rPr>
          <w:szCs w:val="20"/>
        </w:rPr>
        <w:t xml:space="preserve"> give to that wicked man [i.e. Nebuchadnezzar], when he said, “</w:t>
      </w:r>
      <w:r w:rsidRPr="00E54204">
        <w:rPr>
          <w:i/>
          <w:szCs w:val="20"/>
        </w:rPr>
        <w:t>I will ascend over the tops of the clouds; I will liken myself to the Most-high</w:t>
      </w:r>
      <w:r w:rsidRPr="00E54204">
        <w:rPr>
          <w:szCs w:val="20"/>
        </w:rPr>
        <w:t>”” [quoting from Isaiah 14:14].</w:t>
      </w:r>
      <w:r w:rsidR="00193540" w:rsidRPr="00E54204">
        <w:rPr>
          <w:szCs w:val="20"/>
        </w:rPr>
        <w:t xml:space="preserve">  </w:t>
      </w:r>
      <w:r w:rsidRPr="00E54204">
        <w:rPr>
          <w:szCs w:val="20"/>
        </w:rPr>
        <w:t>The text in Daniel does not include the verse quoted from Isaiah; this appears to be a rabbinic insertion to further accentuate the haughtiness of Nebuchadnezzar.  In fact, the passage from Isaiah is actually couched in an oracle that is a direct taunt to the king of Babylon (i.e. Nebuchadnezzar) by a remnant of Israel.</w:t>
      </w:r>
      <w:r w:rsidRPr="00E54204">
        <w:rPr>
          <w:szCs w:val="20"/>
          <w:vertAlign w:val="superscript"/>
        </w:rPr>
        <w:footnoteReference w:id="177"/>
      </w:r>
      <w:r w:rsidR="007A32EC" w:rsidRPr="00E54204">
        <w:rPr>
          <w:szCs w:val="20"/>
        </w:rPr>
        <w:t xml:space="preserve">  The rabbis were aware of the various Biblical contexts </w:t>
      </w:r>
      <w:r w:rsidRPr="00E54204">
        <w:rPr>
          <w:szCs w:val="20"/>
        </w:rPr>
        <w:t>in juxtaposing this verse from Isaiah with Daniel chapter four.  H</w:t>
      </w:r>
      <w:r w:rsidR="00776F85" w:rsidRPr="00E54204">
        <w:rPr>
          <w:szCs w:val="20"/>
        </w:rPr>
        <w:t>ence, in classic M</w:t>
      </w:r>
      <w:r w:rsidR="00BC69A3" w:rsidRPr="00E54204">
        <w:rPr>
          <w:szCs w:val="20"/>
        </w:rPr>
        <w:t xml:space="preserve">idrashic </w:t>
      </w:r>
      <w:r w:rsidR="00776F85" w:rsidRPr="00E54204">
        <w:rPr>
          <w:szCs w:val="20"/>
        </w:rPr>
        <w:t>style</w:t>
      </w:r>
      <w:r w:rsidR="0004144E" w:rsidRPr="00E54204">
        <w:rPr>
          <w:szCs w:val="20"/>
        </w:rPr>
        <w:t>, the rabbis astutely relate these two</w:t>
      </w:r>
      <w:r w:rsidRPr="00E54204">
        <w:rPr>
          <w:szCs w:val="20"/>
        </w:rPr>
        <w:t xml:space="preserve"> passage</w:t>
      </w:r>
      <w:r w:rsidR="0004144E" w:rsidRPr="00E54204">
        <w:rPr>
          <w:szCs w:val="20"/>
        </w:rPr>
        <w:t>s that both deal with the King of Babylon.</w:t>
      </w:r>
    </w:p>
    <w:p w14:paraId="62809018" w14:textId="77777777" w:rsidR="00AA1903" w:rsidRPr="00E54204" w:rsidRDefault="00AA1903" w:rsidP="004D6D82">
      <w:pPr>
        <w:spacing w:after="160"/>
        <w:ind w:firstLine="720"/>
        <w:rPr>
          <w:bCs/>
          <w:szCs w:val="20"/>
        </w:rPr>
      </w:pPr>
      <w:r w:rsidRPr="00E54204">
        <w:rPr>
          <w:szCs w:val="20"/>
        </w:rPr>
        <w:t>The answer to Rabbi Yohanan’s question is, “</w:t>
      </w:r>
      <w:r w:rsidRPr="00E54204">
        <w:rPr>
          <w:bCs/>
          <w:szCs w:val="20"/>
        </w:rPr>
        <w:t>A heavenly voice called out and said to him:</w:t>
      </w:r>
      <w:r w:rsidR="00597143" w:rsidRPr="00E54204">
        <w:rPr>
          <w:bCs/>
          <w:szCs w:val="20"/>
        </w:rPr>
        <w:t xml:space="preserve"> </w:t>
      </w:r>
      <w:r w:rsidRPr="00E54204">
        <w:rPr>
          <w:bCs/>
          <w:szCs w:val="20"/>
        </w:rPr>
        <w:t>‘wicked man, son of a wicked man…who led the whole world in rebellion against Me during his reign…but to the nether world will you be brought down, to the depths of the pit!’”</w:t>
      </w:r>
      <w:r w:rsidR="00193540" w:rsidRPr="00E54204">
        <w:rPr>
          <w:bCs/>
          <w:szCs w:val="20"/>
        </w:rPr>
        <w:t xml:space="preserve">  </w:t>
      </w:r>
      <w:r w:rsidRPr="00E54204">
        <w:rPr>
          <w:bCs/>
          <w:szCs w:val="20"/>
        </w:rPr>
        <w:t xml:space="preserve">This homiletic commentary uses the notions </w:t>
      </w:r>
      <w:r w:rsidR="00193540" w:rsidRPr="00E54204">
        <w:rPr>
          <w:bCs/>
          <w:szCs w:val="20"/>
        </w:rPr>
        <w:t xml:space="preserve">of height and depth to accentuate </w:t>
      </w:r>
      <w:r w:rsidRPr="00E54204">
        <w:rPr>
          <w:bCs/>
          <w:szCs w:val="20"/>
        </w:rPr>
        <w:t xml:space="preserve">God’s judgment on Nebuchadnezzar.  </w:t>
      </w:r>
      <w:r w:rsidR="00193540" w:rsidRPr="00E54204">
        <w:rPr>
          <w:bCs/>
          <w:szCs w:val="20"/>
        </w:rPr>
        <w:t>The book of Daniel later</w:t>
      </w:r>
      <w:r w:rsidRPr="00E54204">
        <w:rPr>
          <w:bCs/>
          <w:szCs w:val="20"/>
        </w:rPr>
        <w:t xml:space="preserve"> narrates Nebuchadnezzar’s temporary stint of deranged activity (i.e. behaving like a wild-animal of the field) while the Talmudic version glosses over such details and preserves an even harsher and unr</w:t>
      </w:r>
      <w:r w:rsidR="002B438F" w:rsidRPr="00E54204">
        <w:rPr>
          <w:bCs/>
          <w:szCs w:val="20"/>
        </w:rPr>
        <w:t>emitting verdict:</w:t>
      </w:r>
      <w:r w:rsidRPr="00E54204">
        <w:rPr>
          <w:bCs/>
          <w:szCs w:val="20"/>
        </w:rPr>
        <w:t xml:space="preserve"> punishment in the afterlife.  </w:t>
      </w:r>
    </w:p>
    <w:p w14:paraId="7924C879" w14:textId="77777777" w:rsidR="007A32EC" w:rsidRPr="00E54204" w:rsidRDefault="00F257A1" w:rsidP="00F257A1">
      <w:pPr>
        <w:spacing w:after="160"/>
        <w:ind w:firstLine="720"/>
        <w:rPr>
          <w:bCs/>
          <w:szCs w:val="20"/>
        </w:rPr>
      </w:pPr>
      <w:r w:rsidRPr="00E54204">
        <w:rPr>
          <w:bCs/>
          <w:szCs w:val="20"/>
        </w:rPr>
        <w:t>Moreover,</w:t>
      </w:r>
      <w:r w:rsidR="009C4F3A" w:rsidRPr="00E54204">
        <w:rPr>
          <w:bCs/>
          <w:szCs w:val="20"/>
        </w:rPr>
        <w:t xml:space="preserve"> B. </w:t>
      </w:r>
      <w:r w:rsidR="009C4F3A" w:rsidRPr="00E54204">
        <w:rPr>
          <w:bCs/>
          <w:i/>
          <w:szCs w:val="20"/>
        </w:rPr>
        <w:t xml:space="preserve">Shabbat </w:t>
      </w:r>
      <w:r w:rsidR="009C4F3A" w:rsidRPr="00E54204">
        <w:rPr>
          <w:bCs/>
          <w:szCs w:val="20"/>
        </w:rPr>
        <w:t xml:space="preserve">149b </w:t>
      </w:r>
      <w:r w:rsidR="00AA1903" w:rsidRPr="00E54204">
        <w:rPr>
          <w:bCs/>
          <w:szCs w:val="20"/>
        </w:rPr>
        <w:t xml:space="preserve">depicts the </w:t>
      </w:r>
      <w:r w:rsidR="00AA1903" w:rsidRPr="00E54204">
        <w:rPr>
          <w:bCs/>
          <w:i/>
          <w:szCs w:val="20"/>
        </w:rPr>
        <w:t>bat kol</w:t>
      </w:r>
      <w:r w:rsidR="00AA1903" w:rsidRPr="00E54204">
        <w:rPr>
          <w:bCs/>
          <w:szCs w:val="20"/>
        </w:rPr>
        <w:t xml:space="preserve"> reproaching Nebuchadnezzar upon arrivin</w:t>
      </w:r>
      <w:r w:rsidR="00E64ABD" w:rsidRPr="00E54204">
        <w:rPr>
          <w:bCs/>
          <w:szCs w:val="20"/>
        </w:rPr>
        <w:t>g in the realm of the dead, where</w:t>
      </w:r>
      <w:r w:rsidR="009C4F3A" w:rsidRPr="00E54204">
        <w:rPr>
          <w:bCs/>
          <w:szCs w:val="20"/>
        </w:rPr>
        <w:t xml:space="preserve"> those</w:t>
      </w:r>
      <w:r w:rsidR="008E064F" w:rsidRPr="00E54204">
        <w:rPr>
          <w:bCs/>
          <w:szCs w:val="20"/>
        </w:rPr>
        <w:t xml:space="preserve"> present are frightened to see him</w:t>
      </w:r>
      <w:r w:rsidR="00AA1903" w:rsidRPr="00E54204">
        <w:rPr>
          <w:bCs/>
          <w:szCs w:val="20"/>
        </w:rPr>
        <w:t>.</w:t>
      </w:r>
      <w:r w:rsidR="00AA1903" w:rsidRPr="00E54204">
        <w:rPr>
          <w:bCs/>
          <w:szCs w:val="20"/>
          <w:vertAlign w:val="superscript"/>
        </w:rPr>
        <w:footnoteReference w:id="178"/>
      </w:r>
      <w:r w:rsidR="009C4F3A" w:rsidRPr="00E54204">
        <w:rPr>
          <w:bCs/>
          <w:szCs w:val="20"/>
        </w:rPr>
        <w:t xml:space="preserve">  This </w:t>
      </w:r>
      <w:r w:rsidR="009C4F3A" w:rsidRPr="00E54204">
        <w:rPr>
          <w:bCs/>
          <w:szCs w:val="20"/>
        </w:rPr>
        <w:lastRenderedPageBreak/>
        <w:t xml:space="preserve">rabbinic story provides additional details to the prophetic words of Isaiah chapter fourteen, in which the King of Babylon is judged by God and is sent down to </w:t>
      </w:r>
      <w:r w:rsidR="009C4F3A" w:rsidRPr="00E54204">
        <w:rPr>
          <w:bCs/>
          <w:i/>
          <w:szCs w:val="20"/>
        </w:rPr>
        <w:t>Sheol</w:t>
      </w:r>
      <w:r w:rsidRPr="00E54204">
        <w:rPr>
          <w:bCs/>
          <w:szCs w:val="20"/>
        </w:rPr>
        <w:t xml:space="preserve"> </w:t>
      </w:r>
      <w:r w:rsidR="009C4F3A" w:rsidRPr="00E54204">
        <w:rPr>
          <w:bCs/>
          <w:szCs w:val="20"/>
        </w:rPr>
        <w:t xml:space="preserve">or the abode of the dead.  </w:t>
      </w:r>
      <w:r w:rsidR="005619C7" w:rsidRPr="00E54204">
        <w:rPr>
          <w:bCs/>
          <w:szCs w:val="20"/>
        </w:rPr>
        <w:t xml:space="preserve">The text reads that Rav Yehuda said in the name of Rav, “When that wicked man (Nebuchadnezzar) went down to hell, all the descenders of hell trembled.  They said, ‘Perhaps he has come to rule over them, or to be weak like them,’ as it says, </w:t>
      </w:r>
      <w:r w:rsidR="009C4F3A" w:rsidRPr="00E54204">
        <w:rPr>
          <w:bCs/>
          <w:szCs w:val="20"/>
        </w:rPr>
        <w:t>“</w:t>
      </w:r>
      <w:r w:rsidR="005619C7" w:rsidRPr="00E54204">
        <w:rPr>
          <w:bCs/>
          <w:szCs w:val="20"/>
        </w:rPr>
        <w:t>Have you too become weak like us</w:t>
      </w:r>
      <w:r w:rsidR="00C1129C" w:rsidRPr="00E54204">
        <w:rPr>
          <w:bCs/>
          <w:szCs w:val="20"/>
        </w:rPr>
        <w:t>?  Have you come to rule over</w:t>
      </w:r>
      <w:r w:rsidR="009C4F3A" w:rsidRPr="00E54204">
        <w:rPr>
          <w:bCs/>
          <w:szCs w:val="20"/>
        </w:rPr>
        <w:t xml:space="preserve"> us?”</w:t>
      </w:r>
      <w:r w:rsidR="009C4F3A" w:rsidRPr="00E54204">
        <w:rPr>
          <w:rStyle w:val="FootnoteReference"/>
          <w:bCs/>
          <w:szCs w:val="20"/>
        </w:rPr>
        <w:footnoteReference w:id="179"/>
      </w:r>
      <w:r w:rsidR="009C4F3A" w:rsidRPr="00E54204">
        <w:rPr>
          <w:bCs/>
          <w:szCs w:val="20"/>
        </w:rPr>
        <w:t xml:space="preserve">  The Talmud then narrates that a </w:t>
      </w:r>
      <w:r w:rsidR="009C4F3A" w:rsidRPr="00E54204">
        <w:rPr>
          <w:bCs/>
          <w:i/>
          <w:szCs w:val="20"/>
        </w:rPr>
        <w:t>bat kol</w:t>
      </w:r>
      <w:r w:rsidR="009C4F3A" w:rsidRPr="00E54204">
        <w:rPr>
          <w:bCs/>
          <w:szCs w:val="20"/>
        </w:rPr>
        <w:t xml:space="preserve"> went forth and said, “Whom do you surpass with beauty?  Go down with, and you shall be laid with the uncircumcised.”</w:t>
      </w:r>
      <w:r w:rsidR="009C4F3A" w:rsidRPr="00E54204">
        <w:rPr>
          <w:rStyle w:val="FootnoteReference"/>
          <w:bCs/>
          <w:szCs w:val="20"/>
        </w:rPr>
        <w:footnoteReference w:id="180"/>
      </w:r>
      <w:r w:rsidR="007A32EC" w:rsidRPr="00E54204">
        <w:rPr>
          <w:bCs/>
          <w:szCs w:val="20"/>
        </w:rPr>
        <w:t xml:space="preserve">  The </w:t>
      </w:r>
      <w:r w:rsidR="007A32EC" w:rsidRPr="00E54204">
        <w:rPr>
          <w:bCs/>
          <w:i/>
          <w:szCs w:val="20"/>
        </w:rPr>
        <w:t xml:space="preserve">bat kol </w:t>
      </w:r>
      <w:r w:rsidR="007A32EC" w:rsidRPr="00E54204">
        <w:rPr>
          <w:bCs/>
          <w:szCs w:val="20"/>
        </w:rPr>
        <w:t>confirms God’s judgment over King Nebuchadnezzar,</w:t>
      </w:r>
      <w:r w:rsidR="00B77850" w:rsidRPr="00E54204">
        <w:rPr>
          <w:bCs/>
          <w:szCs w:val="20"/>
        </w:rPr>
        <w:t xml:space="preserve"> as stated in the Biblical text</w:t>
      </w:r>
      <w:r w:rsidR="008E064F" w:rsidRPr="00E54204">
        <w:rPr>
          <w:bCs/>
          <w:szCs w:val="20"/>
        </w:rPr>
        <w:t>,</w:t>
      </w:r>
      <w:r w:rsidR="007A32EC" w:rsidRPr="00E54204">
        <w:rPr>
          <w:bCs/>
          <w:szCs w:val="20"/>
        </w:rPr>
        <w:t xml:space="preserve"> and therefore the people in </w:t>
      </w:r>
      <w:r w:rsidR="007A32EC" w:rsidRPr="00E54204">
        <w:rPr>
          <w:bCs/>
          <w:i/>
          <w:szCs w:val="20"/>
        </w:rPr>
        <w:t xml:space="preserve">Sheol </w:t>
      </w:r>
      <w:r w:rsidR="007A32EC" w:rsidRPr="00E54204">
        <w:rPr>
          <w:bCs/>
          <w:szCs w:val="20"/>
        </w:rPr>
        <w:t xml:space="preserve">need not worry of further harm perpetrated by this infamous king.  </w:t>
      </w:r>
    </w:p>
    <w:p w14:paraId="132BCF68" w14:textId="77777777" w:rsidR="00AA1903" w:rsidRPr="00E54204" w:rsidRDefault="00AA1903" w:rsidP="00F257A1">
      <w:pPr>
        <w:spacing w:after="160"/>
        <w:ind w:firstLine="720"/>
        <w:rPr>
          <w:bCs/>
          <w:szCs w:val="20"/>
        </w:rPr>
      </w:pPr>
      <w:r w:rsidRPr="00E54204">
        <w:rPr>
          <w:bCs/>
          <w:szCs w:val="20"/>
        </w:rPr>
        <w:t>All three passages employ the dramatic interve</w:t>
      </w:r>
      <w:r w:rsidR="007A32EC" w:rsidRPr="00E54204">
        <w:rPr>
          <w:bCs/>
          <w:szCs w:val="20"/>
        </w:rPr>
        <w:t xml:space="preserve">ntion of a heavenly voice!  The aforementioned rabbinic stories preserve and elaborate details from the Biblical text through the creative style of </w:t>
      </w:r>
      <w:r w:rsidRPr="00E54204">
        <w:rPr>
          <w:bCs/>
          <w:i/>
          <w:szCs w:val="20"/>
        </w:rPr>
        <w:t>Haggadah</w:t>
      </w:r>
      <w:r w:rsidRPr="00E54204">
        <w:rPr>
          <w:bCs/>
          <w:szCs w:val="20"/>
        </w:rPr>
        <w:t>.</w:t>
      </w:r>
      <w:r w:rsidR="00BD47BA" w:rsidRPr="00E54204">
        <w:rPr>
          <w:bCs/>
          <w:szCs w:val="20"/>
        </w:rPr>
        <w:t xml:space="preserve">  </w:t>
      </w:r>
      <w:r w:rsidRPr="00E54204">
        <w:rPr>
          <w:bCs/>
          <w:szCs w:val="20"/>
        </w:rPr>
        <w:t>I suggest the imprint of the Biblical narrative is c</w:t>
      </w:r>
      <w:r w:rsidR="00193540" w:rsidRPr="00E54204">
        <w:rPr>
          <w:bCs/>
          <w:szCs w:val="20"/>
        </w:rPr>
        <w:t>learly visible behind the rabbi</w:t>
      </w:r>
      <w:r w:rsidRPr="00E54204">
        <w:rPr>
          <w:bCs/>
          <w:szCs w:val="20"/>
        </w:rPr>
        <w:t>s</w:t>
      </w:r>
      <w:r w:rsidR="00193540" w:rsidRPr="00E54204">
        <w:rPr>
          <w:bCs/>
          <w:szCs w:val="20"/>
        </w:rPr>
        <w:t>’</w:t>
      </w:r>
      <w:r w:rsidRPr="00E54204">
        <w:rPr>
          <w:bCs/>
          <w:szCs w:val="20"/>
        </w:rPr>
        <w:t xml:space="preserve"> use of the </w:t>
      </w:r>
      <w:r w:rsidRPr="00E54204">
        <w:rPr>
          <w:bCs/>
          <w:i/>
          <w:szCs w:val="20"/>
        </w:rPr>
        <w:t>bat kol</w:t>
      </w:r>
      <w:r w:rsidRPr="00E54204">
        <w:rPr>
          <w:bCs/>
          <w:szCs w:val="20"/>
        </w:rPr>
        <w:t xml:space="preserve"> in the above-mentioned stories.</w:t>
      </w:r>
      <w:r w:rsidRPr="00E54204">
        <w:rPr>
          <w:bCs/>
          <w:szCs w:val="20"/>
          <w:vertAlign w:val="superscript"/>
        </w:rPr>
        <w:footnoteReference w:id="181"/>
      </w:r>
      <w:r w:rsidR="00BD47BA" w:rsidRPr="00E54204">
        <w:rPr>
          <w:bCs/>
          <w:szCs w:val="20"/>
        </w:rPr>
        <w:t xml:space="preserve">  Nevertheless, this does not prove that the rabbis developed the notion of the </w:t>
      </w:r>
      <w:r w:rsidR="00BD47BA" w:rsidRPr="00E54204">
        <w:rPr>
          <w:bCs/>
          <w:i/>
          <w:szCs w:val="20"/>
        </w:rPr>
        <w:t xml:space="preserve">bat kol </w:t>
      </w:r>
      <w:r w:rsidR="00BD47BA" w:rsidRPr="00E54204">
        <w:rPr>
          <w:bCs/>
          <w:szCs w:val="20"/>
        </w:rPr>
        <w:t>from the book of Daniel specifically, though clearest parallels are, in my estimation, those between Daniel and rabbinic stories.</w:t>
      </w:r>
      <w:r w:rsidRPr="00E54204">
        <w:rPr>
          <w:bCs/>
          <w:szCs w:val="20"/>
        </w:rPr>
        <w:t xml:space="preserve">  </w:t>
      </w:r>
    </w:p>
    <w:p w14:paraId="12C08F97" w14:textId="77777777" w:rsidR="0048178F" w:rsidRPr="00E54204" w:rsidRDefault="00AA1903" w:rsidP="00AA1903">
      <w:pPr>
        <w:spacing w:after="160"/>
        <w:rPr>
          <w:szCs w:val="20"/>
        </w:rPr>
      </w:pPr>
      <w:r w:rsidRPr="00E54204">
        <w:rPr>
          <w:szCs w:val="20"/>
        </w:rPr>
        <w:lastRenderedPageBreak/>
        <w:t xml:space="preserve"> </w:t>
      </w:r>
      <w:r w:rsidR="00193540" w:rsidRPr="00E54204">
        <w:rPr>
          <w:szCs w:val="20"/>
        </w:rPr>
        <w:tab/>
        <w:t>Another passage that is of interest occurs in Dan. 9:23</w:t>
      </w:r>
      <w:r w:rsidR="004513C6" w:rsidRPr="00E54204">
        <w:rPr>
          <w:szCs w:val="20"/>
        </w:rPr>
        <w:t xml:space="preserve">.  Daniel recounts that while he was presenting his supplications before the LORD </w:t>
      </w:r>
      <w:r w:rsidR="00193540" w:rsidRPr="00E54204">
        <w:rPr>
          <w:szCs w:val="20"/>
        </w:rPr>
        <w:t>the angel Gabriel</w:t>
      </w:r>
      <w:r w:rsidR="004513C6" w:rsidRPr="00E54204">
        <w:rPr>
          <w:szCs w:val="20"/>
        </w:rPr>
        <w:t xml:space="preserve"> appeared and said</w:t>
      </w:r>
      <w:r w:rsidR="00193540" w:rsidRPr="00E54204">
        <w:rPr>
          <w:szCs w:val="20"/>
        </w:rPr>
        <w:t xml:space="preserve"> to Daniel,</w:t>
      </w:r>
      <w:r w:rsidRPr="00E54204">
        <w:rPr>
          <w:szCs w:val="20"/>
        </w:rPr>
        <w:t xml:space="preserve"> “At the beginning of your supplications a word</w:t>
      </w:r>
      <w:r w:rsidR="00A40899" w:rsidRPr="00E54204">
        <w:rPr>
          <w:szCs w:val="20"/>
        </w:rPr>
        <w:t xml:space="preserve"> [</w:t>
      </w:r>
      <w:r w:rsidR="00A40899" w:rsidRPr="00E54204">
        <w:rPr>
          <w:i/>
          <w:szCs w:val="20"/>
        </w:rPr>
        <w:t>davar</w:t>
      </w:r>
      <w:r w:rsidR="00A40899" w:rsidRPr="00E54204">
        <w:rPr>
          <w:szCs w:val="20"/>
        </w:rPr>
        <w:t>]</w:t>
      </w:r>
      <w:r w:rsidRPr="00E54204">
        <w:rPr>
          <w:szCs w:val="20"/>
        </w:rPr>
        <w:t xml:space="preserve"> went out, and I have come to</w:t>
      </w:r>
      <w:r w:rsidR="00AA5911" w:rsidRPr="00E54204">
        <w:rPr>
          <w:szCs w:val="20"/>
        </w:rPr>
        <w:t xml:space="preserve"> declare it, for you are beloved.  So understand the word and comprehend</w:t>
      </w:r>
      <w:r w:rsidRPr="00E54204">
        <w:rPr>
          <w:szCs w:val="20"/>
        </w:rPr>
        <w:t xml:space="preserve"> the vision.”</w:t>
      </w:r>
      <w:r w:rsidR="00AA5911" w:rsidRPr="00E54204">
        <w:rPr>
          <w:szCs w:val="20"/>
        </w:rPr>
        <w:t xml:space="preserve">  </w:t>
      </w:r>
      <w:r w:rsidRPr="00E54204">
        <w:rPr>
          <w:szCs w:val="20"/>
        </w:rPr>
        <w:t xml:space="preserve">The word </w:t>
      </w:r>
      <w:r w:rsidR="008E4DD4" w:rsidRPr="00E54204">
        <w:rPr>
          <w:szCs w:val="20"/>
        </w:rPr>
        <w:t>for “went out</w:t>
      </w:r>
      <w:r w:rsidRPr="00E54204">
        <w:rPr>
          <w:szCs w:val="20"/>
        </w:rPr>
        <w:t>”</w:t>
      </w:r>
      <w:r w:rsidR="00A40899" w:rsidRPr="00E54204">
        <w:rPr>
          <w:szCs w:val="20"/>
        </w:rPr>
        <w:t xml:space="preserve"> (</w:t>
      </w:r>
      <w:r w:rsidR="00A40899" w:rsidRPr="00E54204">
        <w:rPr>
          <w:i/>
          <w:szCs w:val="20"/>
        </w:rPr>
        <w:t>yatzah</w:t>
      </w:r>
      <w:r w:rsidR="00A40899" w:rsidRPr="00E54204">
        <w:rPr>
          <w:szCs w:val="20"/>
        </w:rPr>
        <w:t>)</w:t>
      </w:r>
      <w:r w:rsidRPr="00E54204">
        <w:rPr>
          <w:szCs w:val="20"/>
        </w:rPr>
        <w:t xml:space="preserve"> interestingly enough, comprises part of the markedly common phrase in the Talmud which is employed to introduce the </w:t>
      </w:r>
      <w:r w:rsidRPr="00E54204">
        <w:rPr>
          <w:i/>
          <w:szCs w:val="20"/>
        </w:rPr>
        <w:t>bat kol</w:t>
      </w:r>
      <w:r w:rsidRPr="00E54204">
        <w:rPr>
          <w:szCs w:val="20"/>
          <w:vertAlign w:val="superscript"/>
        </w:rPr>
        <w:footnoteReference w:id="182"/>
      </w:r>
      <w:r w:rsidRPr="00E54204">
        <w:rPr>
          <w:i/>
          <w:szCs w:val="20"/>
        </w:rPr>
        <w:t xml:space="preserve"> </w:t>
      </w:r>
      <w:r w:rsidR="00597143" w:rsidRPr="00E54204">
        <w:rPr>
          <w:szCs w:val="20"/>
        </w:rPr>
        <w:t>in addition to</w:t>
      </w:r>
      <w:r w:rsidRPr="00E54204">
        <w:rPr>
          <w:szCs w:val="20"/>
        </w:rPr>
        <w:t xml:space="preserve"> other</w:t>
      </w:r>
      <w:r w:rsidR="001A58FF" w:rsidRPr="00E54204">
        <w:rPr>
          <w:szCs w:val="20"/>
        </w:rPr>
        <w:t xml:space="preserve"> rabbinic writings.  </w:t>
      </w:r>
      <w:r w:rsidR="003D5285" w:rsidRPr="00E54204">
        <w:rPr>
          <w:szCs w:val="20"/>
        </w:rPr>
        <w:t>The</w:t>
      </w:r>
      <w:r w:rsidR="001A58FF" w:rsidRPr="00E54204">
        <w:rPr>
          <w:szCs w:val="20"/>
        </w:rPr>
        <w:t xml:space="preserve"> verb </w:t>
      </w:r>
      <w:r w:rsidR="001A58FF" w:rsidRPr="00E54204">
        <w:rPr>
          <w:i/>
          <w:szCs w:val="20"/>
        </w:rPr>
        <w:t xml:space="preserve">yatzah </w:t>
      </w:r>
      <w:r w:rsidR="001A58FF" w:rsidRPr="00E54204">
        <w:rPr>
          <w:szCs w:val="20"/>
        </w:rPr>
        <w:t xml:space="preserve">is overwhelmingly used to describe the appearance of the </w:t>
      </w:r>
      <w:r w:rsidR="001A58FF" w:rsidRPr="00E54204">
        <w:rPr>
          <w:i/>
          <w:szCs w:val="20"/>
        </w:rPr>
        <w:t>bat kol</w:t>
      </w:r>
      <w:r w:rsidR="003D5285" w:rsidRPr="00E54204">
        <w:rPr>
          <w:szCs w:val="20"/>
        </w:rPr>
        <w:t>, it warrants comparison with</w:t>
      </w:r>
      <w:r w:rsidR="001A58FF" w:rsidRPr="00E54204">
        <w:rPr>
          <w:szCs w:val="20"/>
        </w:rPr>
        <w:t xml:space="preserve"> places in Scripture where the term is also applied in addressing heavenly revelations</w:t>
      </w:r>
      <w:r w:rsidRPr="00E54204">
        <w:rPr>
          <w:szCs w:val="20"/>
        </w:rPr>
        <w:t xml:space="preserve">.  The text states that an </w:t>
      </w:r>
      <w:r w:rsidR="008E19A4" w:rsidRPr="00E54204">
        <w:rPr>
          <w:szCs w:val="20"/>
        </w:rPr>
        <w:t>answer</w:t>
      </w:r>
      <w:r w:rsidRPr="00E54204">
        <w:rPr>
          <w:szCs w:val="20"/>
        </w:rPr>
        <w:t xml:space="preserve"> proceeded (presumably fro</w:t>
      </w:r>
      <w:r w:rsidR="008E19A4" w:rsidRPr="00E54204">
        <w:rPr>
          <w:szCs w:val="20"/>
        </w:rPr>
        <w:t>m God) and was delivered via</w:t>
      </w:r>
      <w:r w:rsidRPr="00E54204">
        <w:rPr>
          <w:szCs w:val="20"/>
        </w:rPr>
        <w:t xml:space="preserve"> Gabriel.  </w:t>
      </w:r>
    </w:p>
    <w:p w14:paraId="00516049" w14:textId="77777777" w:rsidR="00F0510F" w:rsidRPr="00E54204" w:rsidRDefault="00AA1903" w:rsidP="0048178F">
      <w:pPr>
        <w:spacing w:after="160"/>
        <w:ind w:firstLine="720"/>
        <w:rPr>
          <w:szCs w:val="20"/>
        </w:rPr>
      </w:pPr>
      <w:r w:rsidRPr="00E54204">
        <w:rPr>
          <w:szCs w:val="20"/>
        </w:rPr>
        <w:t xml:space="preserve">The very name </w:t>
      </w:r>
      <w:r w:rsidRPr="00E54204">
        <w:rPr>
          <w:i/>
          <w:szCs w:val="20"/>
        </w:rPr>
        <w:t>bat kol</w:t>
      </w:r>
      <w:r w:rsidRPr="00E54204">
        <w:rPr>
          <w:szCs w:val="20"/>
        </w:rPr>
        <w:t xml:space="preserve">, </w:t>
      </w:r>
      <w:r w:rsidR="003D5285" w:rsidRPr="00E54204">
        <w:rPr>
          <w:szCs w:val="20"/>
        </w:rPr>
        <w:t xml:space="preserve">literally </w:t>
      </w:r>
      <w:r w:rsidRPr="00E54204">
        <w:rPr>
          <w:szCs w:val="20"/>
        </w:rPr>
        <w:t xml:space="preserve">“daughter of a voice,” may </w:t>
      </w:r>
      <w:r w:rsidR="00BE7861" w:rsidRPr="00E54204">
        <w:rPr>
          <w:szCs w:val="20"/>
        </w:rPr>
        <w:t>be indicative of its ancillary</w:t>
      </w:r>
      <w:r w:rsidR="00F5353E" w:rsidRPr="00E54204">
        <w:rPr>
          <w:szCs w:val="20"/>
        </w:rPr>
        <w:t xml:space="preserve"> status in revelation</w:t>
      </w:r>
      <w:r w:rsidR="003B5221" w:rsidRPr="00E54204">
        <w:rPr>
          <w:szCs w:val="20"/>
        </w:rPr>
        <w:t>.</w:t>
      </w:r>
      <w:r w:rsidR="003D5285" w:rsidRPr="00E54204">
        <w:rPr>
          <w:szCs w:val="20"/>
        </w:rPr>
        <w:t xml:space="preserve">  In other w</w:t>
      </w:r>
      <w:r w:rsidR="0048178F" w:rsidRPr="00E54204">
        <w:rPr>
          <w:szCs w:val="20"/>
        </w:rPr>
        <w:t>ords, this label</w:t>
      </w:r>
      <w:r w:rsidR="003D5285" w:rsidRPr="00E54204">
        <w:rPr>
          <w:szCs w:val="20"/>
        </w:rPr>
        <w:t xml:space="preserve"> maybe interpreted as denoting a less authoritative form of divine communication, so as not to be</w:t>
      </w:r>
      <w:r w:rsidR="0048178F" w:rsidRPr="00E54204">
        <w:rPr>
          <w:szCs w:val="20"/>
        </w:rPr>
        <w:t xml:space="preserve"> confused with</w:t>
      </w:r>
      <w:r w:rsidR="003D5285" w:rsidRPr="00E54204">
        <w:rPr>
          <w:szCs w:val="20"/>
        </w:rPr>
        <w:t xml:space="preserve"> God</w:t>
      </w:r>
      <w:r w:rsidR="0048178F" w:rsidRPr="00E54204">
        <w:rPr>
          <w:szCs w:val="20"/>
        </w:rPr>
        <w:t>’s voice</w:t>
      </w:r>
      <w:r w:rsidR="00F5353E" w:rsidRPr="00E54204">
        <w:rPr>
          <w:szCs w:val="20"/>
        </w:rPr>
        <w:t>, albeit such a view</w:t>
      </w:r>
      <w:r w:rsidR="003B5221" w:rsidRPr="00E54204">
        <w:rPr>
          <w:szCs w:val="20"/>
        </w:rPr>
        <w:t xml:space="preserve"> remains speculative.</w:t>
      </w:r>
      <w:r w:rsidR="0048178F" w:rsidRPr="00E54204">
        <w:rPr>
          <w:szCs w:val="20"/>
        </w:rPr>
        <w:t xml:space="preserve">  </w:t>
      </w:r>
      <w:r w:rsidR="004C4B17" w:rsidRPr="00E54204">
        <w:rPr>
          <w:szCs w:val="20"/>
        </w:rPr>
        <w:t>A</w:t>
      </w:r>
      <w:r w:rsidR="00F5353E" w:rsidRPr="00E54204">
        <w:rPr>
          <w:szCs w:val="20"/>
        </w:rPr>
        <w:t>s noted in the second chapter by various scholars,</w:t>
      </w:r>
      <w:r w:rsidR="004C4B17" w:rsidRPr="00E54204">
        <w:rPr>
          <w:szCs w:val="20"/>
        </w:rPr>
        <w:t xml:space="preserve"> </w:t>
      </w:r>
      <w:r w:rsidR="0048178F" w:rsidRPr="00E54204">
        <w:rPr>
          <w:szCs w:val="20"/>
        </w:rPr>
        <w:t>Marcus Jastrow</w:t>
      </w:r>
      <w:r w:rsidR="00F5353E" w:rsidRPr="00E54204">
        <w:rPr>
          <w:szCs w:val="20"/>
        </w:rPr>
        <w:t xml:space="preserve"> also</w:t>
      </w:r>
      <w:r w:rsidR="0048178F" w:rsidRPr="00E54204">
        <w:rPr>
          <w:szCs w:val="20"/>
        </w:rPr>
        <w:t xml:space="preserve"> defines the term </w:t>
      </w:r>
      <w:r w:rsidR="0048178F" w:rsidRPr="00E54204">
        <w:rPr>
          <w:i/>
          <w:szCs w:val="20"/>
        </w:rPr>
        <w:t>bat kol</w:t>
      </w:r>
      <w:r w:rsidR="0048178F" w:rsidRPr="00E54204">
        <w:rPr>
          <w:szCs w:val="20"/>
        </w:rPr>
        <w:t xml:space="preserve"> as an echo or reverberating sound.</w:t>
      </w:r>
      <w:r w:rsidR="0048178F" w:rsidRPr="00E54204">
        <w:rPr>
          <w:rStyle w:val="FootnoteReference"/>
          <w:szCs w:val="20"/>
        </w:rPr>
        <w:footnoteReference w:id="183"/>
      </w:r>
      <w:r w:rsidR="0048178F" w:rsidRPr="00E54204">
        <w:rPr>
          <w:szCs w:val="20"/>
        </w:rPr>
        <w:t xml:space="preserve">  </w:t>
      </w:r>
      <w:r w:rsidR="00F5353E" w:rsidRPr="00E54204">
        <w:rPr>
          <w:szCs w:val="20"/>
        </w:rPr>
        <w:t xml:space="preserve">Moreover, </w:t>
      </w:r>
      <w:r w:rsidR="005D1021" w:rsidRPr="00E54204">
        <w:rPr>
          <w:szCs w:val="20"/>
        </w:rPr>
        <w:t xml:space="preserve">when attached with </w:t>
      </w:r>
      <w:r w:rsidR="001D545D" w:rsidRPr="00E54204">
        <w:rPr>
          <w:szCs w:val="20"/>
        </w:rPr>
        <w:t xml:space="preserve">the preposition </w:t>
      </w:r>
      <w:r w:rsidR="001D545D" w:rsidRPr="00E54204">
        <w:rPr>
          <w:i/>
          <w:szCs w:val="20"/>
        </w:rPr>
        <w:t>beh</w:t>
      </w:r>
      <w:r w:rsidR="001D545D" w:rsidRPr="00E54204">
        <w:rPr>
          <w:szCs w:val="20"/>
        </w:rPr>
        <w:t>,</w:t>
      </w:r>
      <w:r w:rsidR="002A67F4" w:rsidRPr="00E54204">
        <w:rPr>
          <w:szCs w:val="20"/>
        </w:rPr>
        <w:t xml:space="preserve"> it signifies the </w:t>
      </w:r>
      <w:r w:rsidR="0048178F" w:rsidRPr="00E54204">
        <w:rPr>
          <w:szCs w:val="20"/>
        </w:rPr>
        <w:t>daug</w:t>
      </w:r>
      <w:r w:rsidR="00F5353E" w:rsidRPr="00E54204">
        <w:rPr>
          <w:szCs w:val="20"/>
        </w:rPr>
        <w:t>hter or product of something</w:t>
      </w:r>
      <w:r w:rsidR="003B5221" w:rsidRPr="00E54204">
        <w:rPr>
          <w:szCs w:val="20"/>
        </w:rPr>
        <w:t>.</w:t>
      </w:r>
      <w:r w:rsidR="00BE7861" w:rsidRPr="00E54204">
        <w:rPr>
          <w:szCs w:val="20"/>
        </w:rPr>
        <w:t xml:space="preserve">  </w:t>
      </w:r>
      <w:r w:rsidR="00F5353E" w:rsidRPr="00E54204">
        <w:rPr>
          <w:szCs w:val="20"/>
        </w:rPr>
        <w:t>And Jastrow</w:t>
      </w:r>
      <w:r w:rsidR="00BE7861" w:rsidRPr="00E54204">
        <w:rPr>
          <w:szCs w:val="20"/>
        </w:rPr>
        <w:t xml:space="preserve"> notes the rabbis use </w:t>
      </w:r>
      <w:r w:rsidR="00BE7861" w:rsidRPr="00E54204">
        <w:rPr>
          <w:i/>
          <w:szCs w:val="20"/>
        </w:rPr>
        <w:t xml:space="preserve">bat </w:t>
      </w:r>
      <w:r w:rsidR="00BE7861" w:rsidRPr="00E54204">
        <w:rPr>
          <w:szCs w:val="20"/>
        </w:rPr>
        <w:t xml:space="preserve">in various compound </w:t>
      </w:r>
      <w:r w:rsidR="00BE7861" w:rsidRPr="00E54204">
        <w:rPr>
          <w:szCs w:val="20"/>
        </w:rPr>
        <w:lastRenderedPageBreak/>
        <w:t xml:space="preserve">phrases: </w:t>
      </w:r>
      <w:r w:rsidR="00BE7861" w:rsidRPr="00E54204">
        <w:rPr>
          <w:i/>
          <w:szCs w:val="20"/>
        </w:rPr>
        <w:t>bat or</w:t>
      </w:r>
      <w:r w:rsidR="00BE7861" w:rsidRPr="00E54204">
        <w:rPr>
          <w:szCs w:val="20"/>
        </w:rPr>
        <w:t xml:space="preserve"> (“fit for fuel”), </w:t>
      </w:r>
      <w:r w:rsidR="00BE7861" w:rsidRPr="00E54204">
        <w:rPr>
          <w:i/>
          <w:szCs w:val="20"/>
        </w:rPr>
        <w:t xml:space="preserve">bat arah </w:t>
      </w:r>
      <w:r w:rsidR="00BE7861" w:rsidRPr="00E54204">
        <w:rPr>
          <w:szCs w:val="20"/>
        </w:rPr>
        <w:t xml:space="preserve">(“a sore on the foot”), </w:t>
      </w:r>
      <w:r w:rsidR="00BE7861" w:rsidRPr="00E54204">
        <w:rPr>
          <w:i/>
          <w:szCs w:val="20"/>
        </w:rPr>
        <w:t>bat eenah</w:t>
      </w:r>
      <w:r w:rsidR="00BE7861" w:rsidRPr="00E54204">
        <w:rPr>
          <w:szCs w:val="20"/>
        </w:rPr>
        <w:t xml:space="preserve"> (“hole in a millstone through which the grain feeds through”).</w:t>
      </w:r>
      <w:r w:rsidR="00BE7861" w:rsidRPr="00E54204">
        <w:rPr>
          <w:rStyle w:val="FootnoteReference"/>
          <w:szCs w:val="20"/>
        </w:rPr>
        <w:footnoteReference w:id="184"/>
      </w:r>
      <w:r w:rsidR="00F0510F" w:rsidRPr="00E54204">
        <w:rPr>
          <w:szCs w:val="20"/>
        </w:rPr>
        <w:t xml:space="preserve">  </w:t>
      </w:r>
    </w:p>
    <w:p w14:paraId="4CE78E7C" w14:textId="77777777" w:rsidR="00AA1903" w:rsidRPr="00E54204" w:rsidRDefault="003B5221" w:rsidP="0048178F">
      <w:pPr>
        <w:spacing w:after="160"/>
        <w:ind w:firstLine="720"/>
        <w:rPr>
          <w:szCs w:val="20"/>
        </w:rPr>
      </w:pPr>
      <w:r w:rsidRPr="00E54204">
        <w:rPr>
          <w:szCs w:val="20"/>
        </w:rPr>
        <w:t>In the prophetic writings, such as in Jeremiah and Ezekiel,</w:t>
      </w:r>
      <w:r w:rsidR="005D1021" w:rsidRPr="00E54204">
        <w:rPr>
          <w:szCs w:val="20"/>
        </w:rPr>
        <w:t xml:space="preserve"> </w:t>
      </w:r>
      <w:r w:rsidRPr="00E54204">
        <w:rPr>
          <w:szCs w:val="20"/>
        </w:rPr>
        <w:t>the word daughter is commonly applied for Israel collectively, it appears to personify Israel, through phrase such as “daughter of Zion” and “daughter of Jerusalem.</w:t>
      </w:r>
      <w:r w:rsidR="00BE7861" w:rsidRPr="00E54204">
        <w:rPr>
          <w:szCs w:val="20"/>
        </w:rPr>
        <w:t>”</w:t>
      </w:r>
      <w:r w:rsidR="00F5353E" w:rsidRPr="00E54204">
        <w:rPr>
          <w:szCs w:val="20"/>
        </w:rPr>
        <w:t xml:space="preserve">  In summary, the rabbi’s phrase, </w:t>
      </w:r>
      <w:r w:rsidR="00F5353E" w:rsidRPr="00E54204">
        <w:rPr>
          <w:i/>
          <w:szCs w:val="20"/>
        </w:rPr>
        <w:t>bat kol</w:t>
      </w:r>
      <w:r w:rsidR="00F5353E" w:rsidRPr="00E54204">
        <w:rPr>
          <w:szCs w:val="20"/>
        </w:rPr>
        <w:t>,</w:t>
      </w:r>
      <w:r w:rsidR="00F5353E" w:rsidRPr="00E54204">
        <w:rPr>
          <w:i/>
          <w:szCs w:val="20"/>
        </w:rPr>
        <w:t xml:space="preserve"> </w:t>
      </w:r>
      <w:r w:rsidR="003342EA" w:rsidRPr="00E54204">
        <w:rPr>
          <w:szCs w:val="20"/>
        </w:rPr>
        <w:t xml:space="preserve">remains elusive. </w:t>
      </w:r>
      <w:r w:rsidR="00F5353E" w:rsidRPr="00E54204">
        <w:rPr>
          <w:szCs w:val="20"/>
        </w:rPr>
        <w:t xml:space="preserve"> In my view the best explanation</w:t>
      </w:r>
      <w:r w:rsidR="003342EA" w:rsidRPr="00E54204">
        <w:rPr>
          <w:szCs w:val="20"/>
        </w:rPr>
        <w:t>, as put forth by Ja</w:t>
      </w:r>
      <w:r w:rsidR="00F5353E" w:rsidRPr="00E54204">
        <w:rPr>
          <w:szCs w:val="20"/>
        </w:rPr>
        <w:t>strow, is the one explaining</w:t>
      </w:r>
      <w:r w:rsidR="003342EA" w:rsidRPr="00E54204">
        <w:rPr>
          <w:szCs w:val="20"/>
        </w:rPr>
        <w:t xml:space="preserve"> </w:t>
      </w:r>
      <w:r w:rsidR="003342EA" w:rsidRPr="00E54204">
        <w:rPr>
          <w:i/>
          <w:szCs w:val="20"/>
        </w:rPr>
        <w:t xml:space="preserve">bat </w:t>
      </w:r>
      <w:r w:rsidR="003342EA" w:rsidRPr="00E54204">
        <w:rPr>
          <w:szCs w:val="20"/>
        </w:rPr>
        <w:t>as a type of</w:t>
      </w:r>
      <w:r w:rsidR="00BE7861" w:rsidRPr="00E54204">
        <w:rPr>
          <w:szCs w:val="20"/>
        </w:rPr>
        <w:t xml:space="preserve"> echo or reverberati</w:t>
      </w:r>
      <w:r w:rsidR="003342EA" w:rsidRPr="00E54204">
        <w:rPr>
          <w:szCs w:val="20"/>
        </w:rPr>
        <w:t xml:space="preserve">on.  In this view, the </w:t>
      </w:r>
      <w:r w:rsidR="003342EA" w:rsidRPr="00E54204">
        <w:rPr>
          <w:i/>
          <w:szCs w:val="20"/>
        </w:rPr>
        <w:t>bat kol</w:t>
      </w:r>
      <w:r w:rsidR="00AA1903" w:rsidRPr="00E54204">
        <w:rPr>
          <w:szCs w:val="20"/>
        </w:rPr>
        <w:t xml:space="preserve"> does not stand f</w:t>
      </w:r>
      <w:r w:rsidR="003342EA" w:rsidRPr="00E54204">
        <w:rPr>
          <w:szCs w:val="20"/>
        </w:rPr>
        <w:t xml:space="preserve">or God’s immediate communication but </w:t>
      </w:r>
      <w:r w:rsidR="00AA1903" w:rsidRPr="00E54204">
        <w:rPr>
          <w:szCs w:val="20"/>
        </w:rPr>
        <w:t>a response or communication relayed typically via an anonymous messenger.</w:t>
      </w:r>
      <w:r w:rsidR="003342EA" w:rsidRPr="00E54204">
        <w:rPr>
          <w:szCs w:val="20"/>
        </w:rPr>
        <w:t xml:space="preserve">  The idea underscores the invisibility of the messenger.  Thus far, the</w:t>
      </w:r>
      <w:r w:rsidR="00AA1903" w:rsidRPr="00E54204">
        <w:rPr>
          <w:szCs w:val="20"/>
        </w:rPr>
        <w:t xml:space="preserve"> parallel</w:t>
      </w:r>
      <w:r w:rsidR="003342EA" w:rsidRPr="00E54204">
        <w:rPr>
          <w:szCs w:val="20"/>
        </w:rPr>
        <w:t>s</w:t>
      </w:r>
      <w:r w:rsidR="00AA1903" w:rsidRPr="00E54204">
        <w:rPr>
          <w:szCs w:val="20"/>
        </w:rPr>
        <w:t xml:space="preserve"> in language and</w:t>
      </w:r>
      <w:r w:rsidR="003342EA" w:rsidRPr="00E54204">
        <w:rPr>
          <w:szCs w:val="20"/>
        </w:rPr>
        <w:t xml:space="preserve"> concepts between the Biblical and rabbinical corpuses seem too close to be overlooked</w:t>
      </w:r>
      <w:r w:rsidR="00395127" w:rsidRPr="00E54204">
        <w:rPr>
          <w:szCs w:val="20"/>
        </w:rPr>
        <w:t xml:space="preserve">, making it plausible for the origins of the </w:t>
      </w:r>
      <w:r w:rsidR="00395127" w:rsidRPr="00E54204">
        <w:rPr>
          <w:i/>
          <w:szCs w:val="20"/>
        </w:rPr>
        <w:t xml:space="preserve">bat kol </w:t>
      </w:r>
      <w:r w:rsidR="00395127" w:rsidRPr="00E54204">
        <w:rPr>
          <w:szCs w:val="20"/>
        </w:rPr>
        <w:t>to be rooted in the anonymous voices of the Bible.</w:t>
      </w:r>
    </w:p>
    <w:p w14:paraId="6A520D34" w14:textId="77777777" w:rsidR="00AA1903" w:rsidRPr="00E54204" w:rsidRDefault="00AA1903" w:rsidP="004D6D82">
      <w:pPr>
        <w:spacing w:before="240" w:after="160"/>
        <w:ind w:firstLine="720"/>
        <w:rPr>
          <w:szCs w:val="20"/>
        </w:rPr>
      </w:pPr>
      <w:r w:rsidRPr="00E54204">
        <w:rPr>
          <w:szCs w:val="20"/>
        </w:rPr>
        <w:t>Another well-known passage that is relevant to this discussion is the story of Abraham’s binding and (attempted) sacrifice of his son Isaac.  This story is found in the boo</w:t>
      </w:r>
      <w:r w:rsidR="006E5796" w:rsidRPr="00E54204">
        <w:rPr>
          <w:szCs w:val="20"/>
        </w:rPr>
        <w:t>k of Genesis chapter 22</w:t>
      </w:r>
      <w:r w:rsidRPr="00E54204">
        <w:rPr>
          <w:szCs w:val="20"/>
        </w:rPr>
        <w:t xml:space="preserve">.  In this passage an angel (literally </w:t>
      </w:r>
      <w:r w:rsidRPr="00E54204">
        <w:rPr>
          <w:i/>
          <w:szCs w:val="20"/>
        </w:rPr>
        <w:t>messenger</w:t>
      </w:r>
      <w:r w:rsidRPr="00E54204">
        <w:rPr>
          <w:szCs w:val="20"/>
        </w:rPr>
        <w:t>) calls out to Abraham from heaven to halt the slaying of Isaac.  Again we have the close proximity of he</w:t>
      </w:r>
      <w:r w:rsidR="006E5796" w:rsidRPr="00E54204">
        <w:rPr>
          <w:szCs w:val="20"/>
        </w:rPr>
        <w:t xml:space="preserve">aven and earth displayed in the </w:t>
      </w:r>
      <w:r w:rsidR="002819D2" w:rsidRPr="00E54204">
        <w:rPr>
          <w:szCs w:val="20"/>
        </w:rPr>
        <w:t>sounding off of a</w:t>
      </w:r>
      <w:r w:rsidR="006E5796" w:rsidRPr="00E54204">
        <w:rPr>
          <w:szCs w:val="20"/>
        </w:rPr>
        <w:t xml:space="preserve"> celestial voice</w:t>
      </w:r>
      <w:r w:rsidRPr="00E54204">
        <w:rPr>
          <w:szCs w:val="20"/>
        </w:rPr>
        <w:t>.  Biblical scholar Umberto Cassuto, in his commentary on Genesis 21, perceived that it was an angelic (“voice from heaven”) th</w:t>
      </w:r>
      <w:r w:rsidR="00A75BFB" w:rsidRPr="00E54204">
        <w:rPr>
          <w:szCs w:val="20"/>
        </w:rPr>
        <w:t>at saved both of Abraham’s sons:</w:t>
      </w:r>
      <w:r w:rsidRPr="00E54204">
        <w:rPr>
          <w:szCs w:val="20"/>
        </w:rPr>
        <w:t xml:space="preserve"> Ishmael</w:t>
      </w:r>
      <w:r w:rsidRPr="00E54204">
        <w:rPr>
          <w:szCs w:val="20"/>
          <w:vertAlign w:val="superscript"/>
        </w:rPr>
        <w:footnoteReference w:id="185"/>
      </w:r>
      <w:r w:rsidRPr="00E54204">
        <w:rPr>
          <w:szCs w:val="20"/>
        </w:rPr>
        <w:t xml:space="preserve"> and Isaac.</w:t>
      </w:r>
      <w:r w:rsidRPr="00E54204">
        <w:rPr>
          <w:szCs w:val="20"/>
          <w:vertAlign w:val="superscript"/>
        </w:rPr>
        <w:footnoteReference w:id="186"/>
      </w:r>
      <w:r w:rsidRPr="00E54204">
        <w:rPr>
          <w:szCs w:val="20"/>
        </w:rPr>
        <w:t xml:space="preserve">  In the </w:t>
      </w:r>
      <w:r w:rsidRPr="00E54204">
        <w:rPr>
          <w:szCs w:val="20"/>
        </w:rPr>
        <w:lastRenderedPageBreak/>
        <w:t>Ishmael story, for example, the text says that God (</w:t>
      </w:r>
      <w:r w:rsidRPr="00E54204">
        <w:rPr>
          <w:i/>
          <w:szCs w:val="20"/>
        </w:rPr>
        <w:t>Elohim</w:t>
      </w:r>
      <w:r w:rsidRPr="00E54204">
        <w:rPr>
          <w:szCs w:val="20"/>
        </w:rPr>
        <w:t>) heard the voice of the young man, when in verse sixteen we read that Hagar, Ishmael’s mother, lifted up her voice and wept.</w:t>
      </w:r>
      <w:r w:rsidRPr="00E54204">
        <w:rPr>
          <w:szCs w:val="20"/>
          <w:vertAlign w:val="superscript"/>
        </w:rPr>
        <w:footnoteReference w:id="187"/>
      </w:r>
      <w:r w:rsidRPr="00E54204">
        <w:rPr>
          <w:szCs w:val="20"/>
        </w:rPr>
        <w:t xml:space="preserve">  The reference to lifting of the voice is to Hagar but the text attributes God’s response to the young boy.  The</w:t>
      </w:r>
      <w:r w:rsidR="00B77850" w:rsidRPr="00E54204">
        <w:rPr>
          <w:szCs w:val="20"/>
        </w:rPr>
        <w:t xml:space="preserve"> text then states that it was</w:t>
      </w:r>
      <w:r w:rsidRPr="00E54204">
        <w:rPr>
          <w:szCs w:val="20"/>
        </w:rPr>
        <w:t xml:space="preserve"> the “messenger of God” (</w:t>
      </w:r>
      <w:r w:rsidR="00A75BFB" w:rsidRPr="00E54204">
        <w:rPr>
          <w:i/>
          <w:szCs w:val="20"/>
        </w:rPr>
        <w:t>mal</w:t>
      </w:r>
      <w:r w:rsidR="00D62A44" w:rsidRPr="00E54204">
        <w:rPr>
          <w:i/>
          <w:szCs w:val="20"/>
        </w:rPr>
        <w:t>e</w:t>
      </w:r>
      <w:r w:rsidRPr="00E54204">
        <w:rPr>
          <w:i/>
          <w:szCs w:val="20"/>
        </w:rPr>
        <w:t>’ach Elohim</w:t>
      </w:r>
      <w:r w:rsidRPr="00E54204">
        <w:rPr>
          <w:szCs w:val="20"/>
        </w:rPr>
        <w:t>) who booms from heaven with words of assur</w:t>
      </w:r>
      <w:r w:rsidR="00A75BFB" w:rsidRPr="00E54204">
        <w:rPr>
          <w:szCs w:val="20"/>
        </w:rPr>
        <w:t>ance for him and his mother,</w:t>
      </w:r>
      <w:r w:rsidRPr="00E54204">
        <w:rPr>
          <w:szCs w:val="20"/>
        </w:rPr>
        <w:t xml:space="preserve"> speaking in the first person singular in declaring that God will bless Ishmael.</w:t>
      </w:r>
      <w:r w:rsidRPr="00E54204">
        <w:rPr>
          <w:szCs w:val="20"/>
          <w:vertAlign w:val="superscript"/>
        </w:rPr>
        <w:footnoteReference w:id="188"/>
      </w:r>
      <w:r w:rsidRPr="00E54204">
        <w:rPr>
          <w:szCs w:val="20"/>
        </w:rPr>
        <w:t xml:space="preserve">  Her eyes are then opened by </w:t>
      </w:r>
      <w:r w:rsidR="00817E89" w:rsidRPr="00E54204">
        <w:rPr>
          <w:szCs w:val="20"/>
        </w:rPr>
        <w:t>God so that she sees a well in order to save her and her son’s life.</w:t>
      </w:r>
      <w:r w:rsidRPr="00E54204">
        <w:rPr>
          <w:szCs w:val="20"/>
          <w:vertAlign w:val="superscript"/>
        </w:rPr>
        <w:footnoteReference w:id="189"/>
      </w:r>
      <w:r w:rsidRPr="00E54204">
        <w:rPr>
          <w:szCs w:val="20"/>
        </w:rPr>
        <w:t xml:space="preserve"> </w:t>
      </w:r>
    </w:p>
    <w:p w14:paraId="68D16A2A" w14:textId="77777777" w:rsidR="00AA1903" w:rsidRPr="00E54204" w:rsidRDefault="00AA1903" w:rsidP="00BB2BDE">
      <w:pPr>
        <w:spacing w:before="240" w:after="160"/>
        <w:ind w:firstLine="720"/>
        <w:rPr>
          <w:szCs w:val="20"/>
        </w:rPr>
      </w:pPr>
      <w:r w:rsidRPr="00E54204">
        <w:rPr>
          <w:szCs w:val="20"/>
        </w:rPr>
        <w:t>Similarly, in the story of Isaac’s binding, the text states that it is the “messenger of the LORD” (</w:t>
      </w:r>
      <w:r w:rsidR="00817E89" w:rsidRPr="00E54204">
        <w:rPr>
          <w:i/>
          <w:szCs w:val="20"/>
        </w:rPr>
        <w:t>mal</w:t>
      </w:r>
      <w:r w:rsidR="00D62A44" w:rsidRPr="00E54204">
        <w:rPr>
          <w:i/>
          <w:szCs w:val="20"/>
        </w:rPr>
        <w:t>e</w:t>
      </w:r>
      <w:r w:rsidRPr="00E54204">
        <w:rPr>
          <w:i/>
          <w:szCs w:val="20"/>
        </w:rPr>
        <w:t>’ach YHVH)</w:t>
      </w:r>
      <w:r w:rsidRPr="00E54204">
        <w:rPr>
          <w:szCs w:val="20"/>
        </w:rPr>
        <w:t xml:space="preserve"> who calls out, from heaven, to Abraham, to refrain from killing his son.  On the verge of death, like his brother Ishmael, perhaps here too, it was Isaac’s </w:t>
      </w:r>
      <w:r w:rsidR="00817E89" w:rsidRPr="00E54204">
        <w:rPr>
          <w:szCs w:val="20"/>
        </w:rPr>
        <w:t>plea for help which signaled</w:t>
      </w:r>
      <w:r w:rsidRPr="00E54204">
        <w:rPr>
          <w:szCs w:val="20"/>
        </w:rPr>
        <w:t xml:space="preserve"> the delive</w:t>
      </w:r>
      <w:r w:rsidR="0074192D" w:rsidRPr="00E54204">
        <w:rPr>
          <w:szCs w:val="20"/>
        </w:rPr>
        <w:t>rance.  The implied messenger</w:t>
      </w:r>
      <w:r w:rsidR="009B301E" w:rsidRPr="00E54204">
        <w:rPr>
          <w:szCs w:val="20"/>
        </w:rPr>
        <w:t>(s)</w:t>
      </w:r>
      <w:r w:rsidRPr="00E54204">
        <w:rPr>
          <w:szCs w:val="20"/>
        </w:rPr>
        <w:t xml:space="preserve"> in both stories seem to be watching wh</w:t>
      </w:r>
      <w:r w:rsidR="0074192D" w:rsidRPr="00E54204">
        <w:rPr>
          <w:szCs w:val="20"/>
        </w:rPr>
        <w:t>at is transpiring and verbalize</w:t>
      </w:r>
      <w:r w:rsidR="001A745A" w:rsidRPr="00E54204">
        <w:rPr>
          <w:szCs w:val="20"/>
        </w:rPr>
        <w:t xml:space="preserve"> God’s W</w:t>
      </w:r>
      <w:r w:rsidR="009B301E" w:rsidRPr="00E54204">
        <w:rPr>
          <w:szCs w:val="20"/>
        </w:rPr>
        <w:t>ill,</w:t>
      </w:r>
      <w:r w:rsidR="001A745A" w:rsidRPr="00E54204">
        <w:rPr>
          <w:szCs w:val="20"/>
        </w:rPr>
        <w:t xml:space="preserve"> as</w:t>
      </w:r>
      <w:r w:rsidR="009B301E" w:rsidRPr="00E54204">
        <w:rPr>
          <w:szCs w:val="20"/>
        </w:rPr>
        <w:t xml:space="preserve"> literally from the heavens</w:t>
      </w:r>
      <w:r w:rsidRPr="00E54204">
        <w:rPr>
          <w:szCs w:val="20"/>
        </w:rPr>
        <w:t xml:space="preserve">.  The identity of the messenger and of God seems to be blurred adding intrigue and drama to the narrative.  Such perplexing details may be reflected in the cryptic character ascribed to the </w:t>
      </w:r>
      <w:r w:rsidRPr="00E54204">
        <w:rPr>
          <w:i/>
          <w:szCs w:val="20"/>
        </w:rPr>
        <w:t>bat kol</w:t>
      </w:r>
      <w:r w:rsidRPr="00E54204">
        <w:rPr>
          <w:szCs w:val="20"/>
        </w:rPr>
        <w:t xml:space="preserve">.  Like in these Biblical stories, the identity of the </w:t>
      </w:r>
      <w:r w:rsidRPr="00E54204">
        <w:rPr>
          <w:i/>
          <w:szCs w:val="20"/>
        </w:rPr>
        <w:t>bat kol</w:t>
      </w:r>
      <w:r w:rsidRPr="00E54204">
        <w:rPr>
          <w:szCs w:val="20"/>
        </w:rPr>
        <w:t xml:space="preserve">, God, an angel, or both, is not explained.  </w:t>
      </w:r>
    </w:p>
    <w:p w14:paraId="44E2CB23" w14:textId="77777777" w:rsidR="00AA1903" w:rsidRPr="00E54204" w:rsidRDefault="0074192D" w:rsidP="004D6D82">
      <w:pPr>
        <w:spacing w:before="240" w:after="160"/>
        <w:ind w:firstLine="720"/>
        <w:rPr>
          <w:szCs w:val="20"/>
        </w:rPr>
      </w:pPr>
      <w:r w:rsidRPr="00E54204">
        <w:rPr>
          <w:szCs w:val="20"/>
        </w:rPr>
        <w:t>T</w:t>
      </w:r>
      <w:r w:rsidR="00AA1903" w:rsidRPr="00E54204">
        <w:rPr>
          <w:szCs w:val="20"/>
        </w:rPr>
        <w:t>hat the “voi</w:t>
      </w:r>
      <w:r w:rsidRPr="00E54204">
        <w:rPr>
          <w:szCs w:val="20"/>
        </w:rPr>
        <w:t>ce” of the angel emanates</w:t>
      </w:r>
      <w:r w:rsidR="00AA1903" w:rsidRPr="00E54204">
        <w:rPr>
          <w:szCs w:val="20"/>
        </w:rPr>
        <w:t xml:space="preserve"> from the h</w:t>
      </w:r>
      <w:r w:rsidRPr="00E54204">
        <w:rPr>
          <w:szCs w:val="20"/>
        </w:rPr>
        <w:t>eavens is noteworthy, since it</w:t>
      </w:r>
      <w:r w:rsidR="00AA1903" w:rsidRPr="00E54204">
        <w:rPr>
          <w:szCs w:val="20"/>
        </w:rPr>
        <w:t xml:space="preserve"> is</w:t>
      </w:r>
      <w:r w:rsidRPr="00E54204">
        <w:rPr>
          <w:szCs w:val="20"/>
        </w:rPr>
        <w:t xml:space="preserve"> from here that </w:t>
      </w:r>
      <w:r w:rsidR="00AA1903" w:rsidRPr="00E54204">
        <w:rPr>
          <w:szCs w:val="20"/>
        </w:rPr>
        <w:t xml:space="preserve">the </w:t>
      </w:r>
      <w:r w:rsidR="00AA1903" w:rsidRPr="00E54204">
        <w:rPr>
          <w:i/>
          <w:szCs w:val="20"/>
        </w:rPr>
        <w:t>bat kol</w:t>
      </w:r>
      <w:r w:rsidRPr="00E54204">
        <w:rPr>
          <w:szCs w:val="20"/>
        </w:rPr>
        <w:t xml:space="preserve"> typically comes forth</w:t>
      </w:r>
      <w:r w:rsidR="00AA1903" w:rsidRPr="00E54204">
        <w:rPr>
          <w:szCs w:val="20"/>
        </w:rPr>
        <w:t>.  In fact, the st</w:t>
      </w:r>
      <w:r w:rsidR="009B301E" w:rsidRPr="00E54204">
        <w:rPr>
          <w:szCs w:val="20"/>
        </w:rPr>
        <w:t xml:space="preserve">ory of </w:t>
      </w:r>
      <w:r w:rsidRPr="00E54204">
        <w:rPr>
          <w:szCs w:val="20"/>
        </w:rPr>
        <w:t>Isaac</w:t>
      </w:r>
      <w:r w:rsidR="009B301E" w:rsidRPr="00E54204">
        <w:rPr>
          <w:szCs w:val="20"/>
        </w:rPr>
        <w:t>’s binding</w:t>
      </w:r>
      <w:r w:rsidR="00AA1903" w:rsidRPr="00E54204">
        <w:rPr>
          <w:szCs w:val="20"/>
        </w:rPr>
        <w:t xml:space="preserve"> is </w:t>
      </w:r>
      <w:r w:rsidR="00AA1903" w:rsidRPr="00E54204">
        <w:rPr>
          <w:szCs w:val="20"/>
        </w:rPr>
        <w:lastRenderedPageBreak/>
        <w:t xml:space="preserve">later alluded to by the rabbis and here again we find the participation of the </w:t>
      </w:r>
      <w:r w:rsidR="00AA1903" w:rsidRPr="00E54204">
        <w:rPr>
          <w:i/>
          <w:szCs w:val="20"/>
        </w:rPr>
        <w:t>bat kol</w:t>
      </w:r>
      <w:r w:rsidR="00AA1903" w:rsidRPr="00E54204">
        <w:rPr>
          <w:szCs w:val="20"/>
        </w:rPr>
        <w:t>.</w:t>
      </w:r>
      <w:r w:rsidR="00AA1903" w:rsidRPr="00E54204">
        <w:rPr>
          <w:szCs w:val="20"/>
          <w:vertAlign w:val="superscript"/>
        </w:rPr>
        <w:footnoteReference w:id="190"/>
      </w:r>
      <w:r w:rsidR="00BB2BDE" w:rsidRPr="00E54204">
        <w:rPr>
          <w:szCs w:val="20"/>
        </w:rPr>
        <w:t xml:space="preserve">  In one </w:t>
      </w:r>
      <w:r w:rsidR="00A157E0" w:rsidRPr="00E54204">
        <w:rPr>
          <w:szCs w:val="20"/>
        </w:rPr>
        <w:t xml:space="preserve">of </w:t>
      </w:r>
      <w:r w:rsidR="00BB2BDE" w:rsidRPr="00E54204">
        <w:rPr>
          <w:szCs w:val="20"/>
        </w:rPr>
        <w:t>the P</w:t>
      </w:r>
      <w:r w:rsidR="009B301E" w:rsidRPr="00E54204">
        <w:rPr>
          <w:szCs w:val="20"/>
        </w:rPr>
        <w:t>alestinian Targumim</w:t>
      </w:r>
      <w:r w:rsidR="00A157E0" w:rsidRPr="00E54204">
        <w:rPr>
          <w:szCs w:val="20"/>
        </w:rPr>
        <w:t xml:space="preserve">, which may be dated to the first couple of centuries CE, we </w:t>
      </w:r>
      <w:r w:rsidR="009B301E" w:rsidRPr="00E54204">
        <w:rPr>
          <w:szCs w:val="20"/>
        </w:rPr>
        <w:t>find a retelling of the Isaac’s binding (</w:t>
      </w:r>
      <w:r w:rsidR="009B301E" w:rsidRPr="00E54204">
        <w:rPr>
          <w:i/>
          <w:szCs w:val="20"/>
        </w:rPr>
        <w:t>Akedah</w:t>
      </w:r>
      <w:r w:rsidR="009B301E" w:rsidRPr="00E54204">
        <w:rPr>
          <w:szCs w:val="20"/>
        </w:rPr>
        <w:t>).</w:t>
      </w:r>
      <w:r w:rsidR="00BB2BDE" w:rsidRPr="00E54204">
        <w:rPr>
          <w:szCs w:val="20"/>
        </w:rPr>
        <w:t xml:space="preserve">  Not surprisingly, before the Biblical text introduces the angel of the LORD in verse eleven, verse ten of the Targum includes a </w:t>
      </w:r>
      <w:r w:rsidR="00BB2BDE" w:rsidRPr="00E54204">
        <w:rPr>
          <w:i/>
          <w:szCs w:val="20"/>
        </w:rPr>
        <w:t xml:space="preserve">bat kol </w:t>
      </w:r>
      <w:r w:rsidR="00293447" w:rsidRPr="00E54204">
        <w:rPr>
          <w:szCs w:val="20"/>
        </w:rPr>
        <w:t>which declared</w:t>
      </w:r>
      <w:r w:rsidR="00BB2BDE" w:rsidRPr="00E54204">
        <w:rPr>
          <w:szCs w:val="20"/>
        </w:rPr>
        <w:t>, “Come, see two unique ones in my world.  One sacrifices and one is being sacrificed; the one who sacrifices does not hold back, and the one who is being sacrificed stretches out his neck.”</w:t>
      </w:r>
      <w:r w:rsidR="00BB2BDE" w:rsidRPr="00E54204">
        <w:rPr>
          <w:rStyle w:val="FootnoteReference"/>
          <w:szCs w:val="20"/>
        </w:rPr>
        <w:footnoteReference w:id="191"/>
      </w:r>
      <w:r w:rsidR="00293447" w:rsidRPr="00E54204">
        <w:rPr>
          <w:szCs w:val="20"/>
        </w:rPr>
        <w:t xml:space="preserve">  After this parenthesis the angel of the LORD calls out to stop Abraham from slaying his son.</w:t>
      </w:r>
      <w:r w:rsidR="00BB2BDE" w:rsidRPr="00E54204">
        <w:rPr>
          <w:szCs w:val="20"/>
        </w:rPr>
        <w:t xml:space="preserve">  </w:t>
      </w:r>
      <w:r w:rsidR="00AA1903" w:rsidRPr="00E54204">
        <w:rPr>
          <w:szCs w:val="20"/>
        </w:rPr>
        <w:t xml:space="preserve"> Therefore, the angelic voice in the Abrahamic story appears to resemble the </w:t>
      </w:r>
      <w:r w:rsidR="00AA1903" w:rsidRPr="00E54204">
        <w:rPr>
          <w:i/>
          <w:szCs w:val="20"/>
        </w:rPr>
        <w:t>bat kol</w:t>
      </w:r>
      <w:r w:rsidR="00F8501D" w:rsidRPr="00E54204">
        <w:rPr>
          <w:szCs w:val="20"/>
        </w:rPr>
        <w:t xml:space="preserve"> in many details</w:t>
      </w:r>
      <w:r w:rsidR="00AA1903" w:rsidRPr="00E54204">
        <w:rPr>
          <w:szCs w:val="20"/>
        </w:rPr>
        <w:t xml:space="preserve"> of</w:t>
      </w:r>
      <w:r w:rsidR="00F8501D" w:rsidRPr="00E54204">
        <w:rPr>
          <w:szCs w:val="20"/>
        </w:rPr>
        <w:t xml:space="preserve"> its manifestation</w:t>
      </w:r>
      <w:r w:rsidR="009B301E" w:rsidRPr="00E54204">
        <w:rPr>
          <w:szCs w:val="20"/>
        </w:rPr>
        <w:t>s</w:t>
      </w:r>
      <w:r w:rsidR="00AA1903" w:rsidRPr="00E54204">
        <w:rPr>
          <w:szCs w:val="20"/>
        </w:rPr>
        <w:t>.  My rationale is that the Biblical text served as a precedent through which the rabbis subsequently adopted and adapted the forms of revelation in their day for theological, moral, and or didactic purposes.</w:t>
      </w:r>
    </w:p>
    <w:p w14:paraId="4B97DD8C" w14:textId="77777777" w:rsidR="00AA1903" w:rsidRPr="00E54204" w:rsidRDefault="00AA1903" w:rsidP="004D6D82">
      <w:pPr>
        <w:spacing w:after="160"/>
        <w:ind w:firstLine="720"/>
        <w:rPr>
          <w:szCs w:val="20"/>
        </w:rPr>
      </w:pPr>
      <w:r w:rsidRPr="00E54204">
        <w:rPr>
          <w:szCs w:val="20"/>
        </w:rPr>
        <w:t>Another Biblical story which exhibits modes of divine communica</w:t>
      </w:r>
      <w:r w:rsidR="00724E68" w:rsidRPr="00E54204">
        <w:rPr>
          <w:szCs w:val="20"/>
        </w:rPr>
        <w:t>tion reminiscent</w:t>
      </w:r>
      <w:r w:rsidRPr="00E54204">
        <w:rPr>
          <w:szCs w:val="20"/>
        </w:rPr>
        <w:t xml:space="preserve"> of the </w:t>
      </w:r>
      <w:r w:rsidRPr="00E54204">
        <w:rPr>
          <w:i/>
          <w:szCs w:val="20"/>
        </w:rPr>
        <w:t>bat kol</w:t>
      </w:r>
      <w:r w:rsidR="00724E68" w:rsidRPr="00E54204">
        <w:rPr>
          <w:szCs w:val="20"/>
        </w:rPr>
        <w:t xml:space="preserve"> in oracular</w:t>
      </w:r>
      <w:r w:rsidR="00724E68" w:rsidRPr="00E54204">
        <w:rPr>
          <w:szCs w:val="20"/>
          <w:vertAlign w:val="superscript"/>
        </w:rPr>
        <w:footnoteReference w:id="192"/>
      </w:r>
      <w:r w:rsidR="00724E68" w:rsidRPr="00E54204">
        <w:rPr>
          <w:szCs w:val="20"/>
        </w:rPr>
        <w:t xml:space="preserve"> fashion,</w:t>
      </w:r>
      <w:r w:rsidRPr="00E54204">
        <w:rPr>
          <w:szCs w:val="20"/>
        </w:rPr>
        <w:t xml:space="preserve"> is Gideon’s miraculous routing of the Midianites.</w:t>
      </w:r>
      <w:r w:rsidRPr="00E54204">
        <w:rPr>
          <w:szCs w:val="20"/>
          <w:vertAlign w:val="superscript"/>
        </w:rPr>
        <w:footnoteReference w:id="193"/>
      </w:r>
      <w:r w:rsidRPr="00E54204">
        <w:rPr>
          <w:szCs w:val="20"/>
        </w:rPr>
        <w:t xml:space="preserve">  God instructed Gideon to red</w:t>
      </w:r>
      <w:r w:rsidR="00F8501D" w:rsidRPr="00E54204">
        <w:rPr>
          <w:szCs w:val="20"/>
        </w:rPr>
        <w:t xml:space="preserve">uce his force to a meager three </w:t>
      </w:r>
      <w:r w:rsidRPr="00E54204">
        <w:rPr>
          <w:szCs w:val="20"/>
        </w:rPr>
        <w:t>hundred men so as to stress through whose pow</w:t>
      </w:r>
      <w:r w:rsidR="0064718D" w:rsidRPr="00E54204">
        <w:rPr>
          <w:szCs w:val="20"/>
        </w:rPr>
        <w:t>er the victory would take place,</w:t>
      </w:r>
      <w:r w:rsidRPr="00E54204">
        <w:rPr>
          <w:szCs w:val="20"/>
        </w:rPr>
        <w:t xml:space="preserve"> namely God’s.  One night as Gideon and his men encamped above the valley where the Midianites were, God </w:t>
      </w:r>
      <w:r w:rsidRPr="00E54204">
        <w:rPr>
          <w:szCs w:val="20"/>
        </w:rPr>
        <w:lastRenderedPageBreak/>
        <w:t>instructs him to go down and overrun the enemy.  However, in an interesting gesture by God, Gideon is offered a s</w:t>
      </w:r>
      <w:r w:rsidR="00724E68" w:rsidRPr="00E54204">
        <w:rPr>
          <w:szCs w:val="20"/>
        </w:rPr>
        <w:t>ign to confirm God’s Word to him</w:t>
      </w:r>
      <w:r w:rsidRPr="00E54204">
        <w:rPr>
          <w:szCs w:val="20"/>
        </w:rPr>
        <w:t>.  He was instructed to go down to the camp with his servant and to listen to the words spoken there.  Gideon takes the offer and the Biblical text recounts that upon descending, Gideon overheard one man sharing his dream to another who in turn offered its interpretation by saying, “This is nothing else but the sword of Gideon the son of Joash, a man of Israel!  Into his hand God has delivered Midian and the whole camp.”</w:t>
      </w:r>
      <w:r w:rsidRPr="00E54204">
        <w:rPr>
          <w:szCs w:val="20"/>
          <w:vertAlign w:val="superscript"/>
        </w:rPr>
        <w:footnoteReference w:id="194"/>
      </w:r>
    </w:p>
    <w:p w14:paraId="1C1B29EA" w14:textId="77777777" w:rsidR="00AA1903" w:rsidRPr="00E54204" w:rsidRDefault="00AA1903" w:rsidP="004D6D82">
      <w:pPr>
        <w:spacing w:after="160"/>
        <w:ind w:firstLine="720"/>
        <w:rPr>
          <w:szCs w:val="20"/>
        </w:rPr>
      </w:pPr>
      <w:r w:rsidRPr="00E54204">
        <w:rPr>
          <w:szCs w:val="20"/>
        </w:rPr>
        <w:t>In what is an ironic detail in the story, Gideon is afforded words of confirmatio</w:t>
      </w:r>
      <w:r w:rsidR="001E36C5" w:rsidRPr="00E54204">
        <w:rPr>
          <w:szCs w:val="20"/>
        </w:rPr>
        <w:t xml:space="preserve">n through the mouth of his </w:t>
      </w:r>
      <w:r w:rsidR="00853FE2" w:rsidRPr="00E54204">
        <w:rPr>
          <w:szCs w:val="20"/>
        </w:rPr>
        <w:t>own enemy!  Here, we read how God ratified His W</w:t>
      </w:r>
      <w:r w:rsidRPr="00E54204">
        <w:rPr>
          <w:szCs w:val="20"/>
        </w:rPr>
        <w:t xml:space="preserve">ord in the most mysterious and random of means.  It may not be surprising to discover that on a few occasions the rabbis entertain chance utterances as portents of the holy.  In tractate </w:t>
      </w:r>
      <w:r w:rsidRPr="00E54204">
        <w:rPr>
          <w:i/>
          <w:szCs w:val="20"/>
        </w:rPr>
        <w:t>Megillah</w:t>
      </w:r>
      <w:r w:rsidRPr="00E54204">
        <w:rPr>
          <w:szCs w:val="20"/>
        </w:rPr>
        <w:t xml:space="preserve"> 32a we read that R. Shefatiah said in the name of R. Yohanan, “Whence [from where] do we know that we may consult a </w:t>
      </w:r>
      <w:r w:rsidRPr="00E54204">
        <w:rPr>
          <w:i/>
          <w:szCs w:val="20"/>
        </w:rPr>
        <w:t>bat kol</w:t>
      </w:r>
      <w:r w:rsidRPr="00E54204">
        <w:rPr>
          <w:szCs w:val="20"/>
        </w:rPr>
        <w:t>?  Because it is said</w:t>
      </w:r>
      <w:r w:rsidR="00853FE2" w:rsidRPr="00E54204">
        <w:rPr>
          <w:szCs w:val="20"/>
        </w:rPr>
        <w:t xml:space="preserve"> [Isaiah 30:21]</w:t>
      </w:r>
      <w:r w:rsidRPr="00E54204">
        <w:rPr>
          <w:szCs w:val="20"/>
        </w:rPr>
        <w:t xml:space="preserve">: </w:t>
      </w:r>
      <w:r w:rsidRPr="00E54204">
        <w:rPr>
          <w:i/>
          <w:szCs w:val="20"/>
        </w:rPr>
        <w:t>And thine ears shall hear a word behind thee saying…</w:t>
      </w:r>
      <w:r w:rsidRPr="00E54204">
        <w:rPr>
          <w:szCs w:val="20"/>
        </w:rPr>
        <w:t>”</w:t>
      </w:r>
      <w:r w:rsidRPr="00E54204">
        <w:rPr>
          <w:szCs w:val="20"/>
          <w:vertAlign w:val="superscript"/>
        </w:rPr>
        <w:footnoteReference w:id="195"/>
      </w:r>
      <w:r w:rsidRPr="00E54204">
        <w:rPr>
          <w:szCs w:val="20"/>
        </w:rPr>
        <w:t xml:space="preserve">  The context of the passage quoted from Isaiah addresses the return of the people to righteous living in light of their waywardness.  Their teachers would no longer be hidden from them and they will receive instruction from an invisible speaker on the right path to walk in.</w:t>
      </w:r>
      <w:r w:rsidRPr="00E54204">
        <w:rPr>
          <w:szCs w:val="20"/>
          <w:vertAlign w:val="superscript"/>
        </w:rPr>
        <w:t xml:space="preserve"> </w:t>
      </w:r>
      <w:r w:rsidRPr="00E54204">
        <w:rPr>
          <w:szCs w:val="20"/>
          <w:vertAlign w:val="superscript"/>
        </w:rPr>
        <w:footnoteReference w:id="196"/>
      </w:r>
      <w:r w:rsidRPr="00E54204">
        <w:rPr>
          <w:szCs w:val="20"/>
        </w:rPr>
        <w:t xml:space="preserve">  Divine guidance/clarificat</w:t>
      </w:r>
      <w:r w:rsidR="008D2ED0" w:rsidRPr="00E54204">
        <w:rPr>
          <w:szCs w:val="20"/>
        </w:rPr>
        <w:t>ion through chance utterances are</w:t>
      </w:r>
      <w:r w:rsidRPr="00E54204">
        <w:rPr>
          <w:szCs w:val="20"/>
        </w:rPr>
        <w:t xml:space="preserve"> the common denominator between this Biblical passage and this rabbinic text.   </w:t>
      </w:r>
    </w:p>
    <w:p w14:paraId="5923B89E" w14:textId="77777777" w:rsidR="00AA1903" w:rsidRPr="00E54204" w:rsidRDefault="00AA1903" w:rsidP="004D6D82">
      <w:pPr>
        <w:spacing w:after="160"/>
        <w:ind w:firstLine="720"/>
        <w:rPr>
          <w:szCs w:val="20"/>
        </w:rPr>
      </w:pPr>
      <w:r w:rsidRPr="00E54204">
        <w:rPr>
          <w:szCs w:val="20"/>
        </w:rPr>
        <w:lastRenderedPageBreak/>
        <w:t>Another Biblical war hero experienced similar instructions from God in order to secure a military triumph.  The book of second Samuel recounts how God instructed David not to directly go up and confront the Philistines but rather to approach them from the rear, and to attack when he would hear, “the sound of marching in the tops of the mulberry trees, then you shall advance quickly. For then the LORD will go out before you to strike the camp of the Philistines.”</w:t>
      </w:r>
      <w:r w:rsidRPr="00E54204">
        <w:rPr>
          <w:szCs w:val="20"/>
          <w:vertAlign w:val="superscript"/>
        </w:rPr>
        <w:footnoteReference w:id="197"/>
      </w:r>
      <w:r w:rsidRPr="00E54204">
        <w:rPr>
          <w:szCs w:val="20"/>
        </w:rPr>
        <w:t xml:space="preserve">  Here, David is guided to execute a different tactic, one that included discerning the moment the sign was taking place, which as a result assured him of God delivering his enemy into his hands.  David did as instructed and was successful.  In both the stories, Gideon and David alike were afforded insight into the events that were about to ensue.  Therefore</w:t>
      </w:r>
      <w:r w:rsidR="00751C3E" w:rsidRPr="00E54204">
        <w:rPr>
          <w:szCs w:val="20"/>
        </w:rPr>
        <w:t>,</w:t>
      </w:r>
      <w:r w:rsidRPr="00E54204">
        <w:rPr>
          <w:szCs w:val="20"/>
        </w:rPr>
        <w:t xml:space="preserve"> the stories do no</w:t>
      </w:r>
      <w:r w:rsidR="00751C3E" w:rsidRPr="00E54204">
        <w:rPr>
          <w:szCs w:val="20"/>
        </w:rPr>
        <w:t>t</w:t>
      </w:r>
      <w:r w:rsidRPr="00E54204">
        <w:rPr>
          <w:szCs w:val="20"/>
        </w:rPr>
        <w:t xml:space="preserve"> exhibit a purely oracular quality to them.  Neither character was in the dark as to the next step they should take.  However, what is peculiar is the random manner in which they are offered tokens of confirmation.   </w:t>
      </w:r>
    </w:p>
    <w:p w14:paraId="4A6E7198" w14:textId="77777777" w:rsidR="00AA1903" w:rsidRPr="00E54204" w:rsidRDefault="00AA1903" w:rsidP="00F371F9">
      <w:pPr>
        <w:spacing w:after="160"/>
        <w:ind w:firstLine="720"/>
        <w:rPr>
          <w:szCs w:val="20"/>
        </w:rPr>
      </w:pPr>
      <w:r w:rsidRPr="00E54204">
        <w:rPr>
          <w:szCs w:val="20"/>
        </w:rPr>
        <w:t>Moreover,</w:t>
      </w:r>
      <w:r w:rsidR="007B247C" w:rsidRPr="00E54204">
        <w:rPr>
          <w:szCs w:val="20"/>
        </w:rPr>
        <w:t xml:space="preserve"> according to Saul Lieberman</w:t>
      </w:r>
      <w:r w:rsidR="008D2ED0" w:rsidRPr="00E54204">
        <w:rPr>
          <w:szCs w:val="20"/>
        </w:rPr>
        <w:t>,</w:t>
      </w:r>
      <w:r w:rsidRPr="00E54204">
        <w:rPr>
          <w:szCs w:val="20"/>
        </w:rPr>
        <w:t xml:space="preserve"> the practice of consulting verses randomly uttered by children wa</w:t>
      </w:r>
      <w:r w:rsidR="007B247C" w:rsidRPr="00E54204">
        <w:rPr>
          <w:szCs w:val="20"/>
        </w:rPr>
        <w:t>s most popular among the rabbis</w:t>
      </w:r>
      <w:r w:rsidRPr="00E54204">
        <w:rPr>
          <w:szCs w:val="20"/>
        </w:rPr>
        <w:t>.</w:t>
      </w:r>
      <w:r w:rsidRPr="00E54204">
        <w:rPr>
          <w:szCs w:val="20"/>
          <w:vertAlign w:val="superscript"/>
        </w:rPr>
        <w:footnoteReference w:id="198"/>
      </w:r>
      <w:r w:rsidRPr="00E54204">
        <w:rPr>
          <w:szCs w:val="20"/>
        </w:rPr>
        <w:t xml:space="preserve">  There is a similar practice among other peoples in antiquity, like the Egyptians, who, according to Plutarch,</w:t>
      </w:r>
      <w:r w:rsidRPr="00E54204">
        <w:rPr>
          <w:szCs w:val="20"/>
          <w:vertAlign w:val="superscript"/>
        </w:rPr>
        <w:footnoteReference w:id="199"/>
      </w:r>
      <w:r w:rsidRPr="00E54204">
        <w:rPr>
          <w:szCs w:val="20"/>
        </w:rPr>
        <w:t xml:space="preserve"> thought that small children possessed prophetic ability especially, “when they are playing in the temples and happen to say things.”</w:t>
      </w:r>
      <w:r w:rsidRPr="00E54204">
        <w:rPr>
          <w:szCs w:val="20"/>
          <w:vertAlign w:val="superscript"/>
        </w:rPr>
        <w:footnoteReference w:id="200"/>
      </w:r>
      <w:r w:rsidRPr="00E54204">
        <w:rPr>
          <w:szCs w:val="20"/>
        </w:rPr>
        <w:t xml:space="preserve">  Furthermore, Lieberman, notes </w:t>
      </w:r>
      <w:r w:rsidRPr="00E54204">
        <w:rPr>
          <w:szCs w:val="20"/>
        </w:rPr>
        <w:lastRenderedPageBreak/>
        <w:t>that several Greek writers witness to the validity of this medium.</w:t>
      </w:r>
      <w:r w:rsidRPr="00E54204">
        <w:rPr>
          <w:szCs w:val="20"/>
          <w:vertAlign w:val="superscript"/>
        </w:rPr>
        <w:footnoteReference w:id="201"/>
      </w:r>
      <w:r w:rsidRPr="00E54204">
        <w:rPr>
          <w:szCs w:val="20"/>
        </w:rPr>
        <w:t xml:space="preserve">  There is also evidence of Christians partaking in this method of “revelation” as demonstrated in the case of Antony who decided to become a monk upon entering a church and hearing Matthew 19:21</w:t>
      </w:r>
      <w:r w:rsidR="00270DC0" w:rsidRPr="00E54204">
        <w:rPr>
          <w:szCs w:val="20"/>
        </w:rPr>
        <w:t xml:space="preserve"> </w:t>
      </w:r>
      <w:r w:rsidR="00270DC0" w:rsidRPr="00E54204">
        <w:t>read out loud: “Jesus said to him, ‘If you want to be perfect go, sell what you have and give to the poor, and you will have treasure in heaven; come, and follow me.’”</w:t>
      </w:r>
      <w:r w:rsidRPr="00E54204">
        <w:rPr>
          <w:szCs w:val="20"/>
          <w:vertAlign w:val="superscript"/>
        </w:rPr>
        <w:footnoteReference w:id="202"/>
      </w:r>
      <w:r w:rsidR="00270DC0" w:rsidRPr="00E54204">
        <w:rPr>
          <w:szCs w:val="20"/>
        </w:rPr>
        <w:t xml:space="preserve">  </w:t>
      </w:r>
      <w:r w:rsidRPr="00E54204">
        <w:rPr>
          <w:szCs w:val="20"/>
        </w:rPr>
        <w:t>Lieberman noted the phrase, found in both Talmudim,</w:t>
      </w:r>
      <w:r w:rsidRPr="00E54204">
        <w:rPr>
          <w:szCs w:val="20"/>
          <w:vertAlign w:val="superscript"/>
        </w:rPr>
        <w:footnoteReference w:id="203"/>
      </w:r>
      <w:r w:rsidRPr="00E54204">
        <w:rPr>
          <w:szCs w:val="20"/>
        </w:rPr>
        <w:t xml:space="preserve"> “they were wont [inclined] to make use of the </w:t>
      </w:r>
      <w:r w:rsidRPr="00E54204">
        <w:rPr>
          <w:i/>
          <w:szCs w:val="20"/>
        </w:rPr>
        <w:t>bat kol</w:t>
      </w:r>
      <w:r w:rsidRPr="00E54204">
        <w:rPr>
          <w:szCs w:val="20"/>
        </w:rPr>
        <w:t>”</w:t>
      </w:r>
      <w:r w:rsidRPr="00E54204">
        <w:rPr>
          <w:szCs w:val="20"/>
          <w:vertAlign w:val="superscript"/>
        </w:rPr>
        <w:footnoteReference w:id="204"/>
      </w:r>
      <w:r w:rsidRPr="00E54204">
        <w:rPr>
          <w:szCs w:val="20"/>
        </w:rPr>
        <w:t xml:space="preserve"> as further corroboration of its oracular purpose.  He views the Hebrew syntax as unusual and infers that it may be a translation from the Greek word </w:t>
      </w:r>
      <w:r w:rsidR="001751E9" w:rsidRPr="00E54204">
        <w:rPr>
          <w:i/>
          <w:szCs w:val="20"/>
        </w:rPr>
        <w:t>kh</w:t>
      </w:r>
      <w:r w:rsidR="007B247C" w:rsidRPr="00E54204">
        <w:rPr>
          <w:i/>
          <w:szCs w:val="20"/>
        </w:rPr>
        <w:t>e</w:t>
      </w:r>
      <w:r w:rsidRPr="00E54204">
        <w:rPr>
          <w:i/>
          <w:szCs w:val="20"/>
        </w:rPr>
        <w:t>resthai</w:t>
      </w:r>
      <w:r w:rsidRPr="00E54204">
        <w:rPr>
          <w:i/>
          <w:szCs w:val="20"/>
          <w:vertAlign w:val="superscript"/>
        </w:rPr>
        <w:footnoteReference w:id="205"/>
      </w:r>
      <w:r w:rsidRPr="00E54204">
        <w:rPr>
          <w:szCs w:val="20"/>
        </w:rPr>
        <w:t xml:space="preserve"> which means “to make use of” or “consult</w:t>
      </w:r>
      <w:r w:rsidR="001751E9" w:rsidRPr="00E54204">
        <w:rPr>
          <w:szCs w:val="20"/>
        </w:rPr>
        <w:t>,”</w:t>
      </w:r>
      <w:r w:rsidRPr="00E54204">
        <w:rPr>
          <w:szCs w:val="20"/>
        </w:rPr>
        <w:t xml:space="preserve"> such as in the case of an oracle.</w:t>
      </w:r>
      <w:r w:rsidRPr="00E54204">
        <w:rPr>
          <w:szCs w:val="20"/>
          <w:vertAlign w:val="superscript"/>
        </w:rPr>
        <w:footnoteReference w:id="206"/>
      </w:r>
      <w:r w:rsidRPr="00E54204">
        <w:rPr>
          <w:szCs w:val="20"/>
        </w:rPr>
        <w:t xml:space="preserve">  It should be noted that </w:t>
      </w:r>
      <w:r w:rsidR="00672C61" w:rsidRPr="00E54204">
        <w:rPr>
          <w:szCs w:val="20"/>
        </w:rPr>
        <w:t xml:space="preserve">the Gideon and David stories </w:t>
      </w:r>
      <w:r w:rsidR="00F93F35" w:rsidRPr="00E54204">
        <w:rPr>
          <w:szCs w:val="20"/>
        </w:rPr>
        <w:t>are representative of uncommon</w:t>
      </w:r>
      <w:r w:rsidR="00672C61" w:rsidRPr="00E54204">
        <w:rPr>
          <w:szCs w:val="20"/>
        </w:rPr>
        <w:t xml:space="preserve"> forms of revelation in the Bible</w:t>
      </w:r>
      <w:r w:rsidRPr="00E54204">
        <w:rPr>
          <w:szCs w:val="20"/>
        </w:rPr>
        <w:t xml:space="preserve">, hence Lieberman’s interpretation finds greater resonance with Greek oracular practices.    </w:t>
      </w:r>
    </w:p>
    <w:p w14:paraId="0A08B927" w14:textId="77777777" w:rsidR="00AA1903" w:rsidRPr="00E54204" w:rsidRDefault="00AA1903" w:rsidP="00AA1903">
      <w:pPr>
        <w:spacing w:after="160"/>
        <w:rPr>
          <w:szCs w:val="20"/>
        </w:rPr>
      </w:pPr>
      <w:r w:rsidRPr="00E54204">
        <w:rPr>
          <w:szCs w:val="20"/>
        </w:rPr>
        <w:lastRenderedPageBreak/>
        <w:tab/>
        <w:t>T</w:t>
      </w:r>
      <w:r w:rsidR="006F0ACE" w:rsidRPr="00E54204">
        <w:rPr>
          <w:szCs w:val="20"/>
        </w:rPr>
        <w:t>he Hebrew Bible is explicit i</w:t>
      </w:r>
      <w:r w:rsidR="002E055F" w:rsidRPr="00E54204">
        <w:rPr>
          <w:szCs w:val="20"/>
        </w:rPr>
        <w:t xml:space="preserve">n its rejection </w:t>
      </w:r>
      <w:r w:rsidRPr="00E54204">
        <w:rPr>
          <w:szCs w:val="20"/>
        </w:rPr>
        <w:t>of divination.</w:t>
      </w:r>
      <w:r w:rsidRPr="00E54204">
        <w:rPr>
          <w:szCs w:val="20"/>
          <w:vertAlign w:val="superscript"/>
        </w:rPr>
        <w:footnoteReference w:id="207"/>
      </w:r>
      <w:r w:rsidRPr="00E54204">
        <w:rPr>
          <w:szCs w:val="20"/>
        </w:rPr>
        <w:t xml:space="preserve">  </w:t>
      </w:r>
      <w:r w:rsidR="00684920" w:rsidRPr="00E54204">
        <w:rPr>
          <w:szCs w:val="20"/>
        </w:rPr>
        <w:t xml:space="preserve">Nevertheless, </w:t>
      </w:r>
      <w:r w:rsidRPr="00E54204">
        <w:rPr>
          <w:szCs w:val="20"/>
        </w:rPr>
        <w:t>there were</w:t>
      </w:r>
      <w:r w:rsidR="000A2929" w:rsidRPr="00E54204">
        <w:rPr>
          <w:szCs w:val="20"/>
        </w:rPr>
        <w:t xml:space="preserve"> cases in which illegitimate means of knowledge were permitted</w:t>
      </w:r>
      <w:r w:rsidRPr="00E54204">
        <w:rPr>
          <w:szCs w:val="20"/>
        </w:rPr>
        <w:t xml:space="preserve"> in the Biblical narrative.</w:t>
      </w:r>
      <w:r w:rsidRPr="00E54204">
        <w:rPr>
          <w:szCs w:val="20"/>
          <w:vertAlign w:val="superscript"/>
        </w:rPr>
        <w:footnoteReference w:id="208"/>
      </w:r>
      <w:r w:rsidR="000A2929" w:rsidRPr="00E54204">
        <w:rPr>
          <w:szCs w:val="20"/>
        </w:rPr>
        <w:t xml:space="preserve">  In addition</w:t>
      </w:r>
      <w:r w:rsidRPr="00E54204">
        <w:rPr>
          <w:szCs w:val="20"/>
        </w:rPr>
        <w:t>, it is clear that any illegal means of divination that were successfully consul</w:t>
      </w:r>
      <w:r w:rsidR="008F4960" w:rsidRPr="00E54204">
        <w:rPr>
          <w:szCs w:val="20"/>
        </w:rPr>
        <w:t>ted, were permitted by God for special</w:t>
      </w:r>
      <w:r w:rsidRPr="00E54204">
        <w:rPr>
          <w:szCs w:val="20"/>
        </w:rPr>
        <w:t xml:space="preserve"> purpose</w:t>
      </w:r>
      <w:r w:rsidR="008F4960" w:rsidRPr="00E54204">
        <w:rPr>
          <w:szCs w:val="20"/>
        </w:rPr>
        <w:t>s</w:t>
      </w:r>
      <w:r w:rsidRPr="00E54204">
        <w:rPr>
          <w:szCs w:val="20"/>
        </w:rPr>
        <w:t>.</w:t>
      </w:r>
      <w:r w:rsidRPr="00E54204">
        <w:rPr>
          <w:szCs w:val="20"/>
          <w:vertAlign w:val="superscript"/>
        </w:rPr>
        <w:footnoteReference w:id="209"/>
      </w:r>
      <w:r w:rsidR="00CB4B45" w:rsidRPr="00E54204">
        <w:rPr>
          <w:szCs w:val="20"/>
        </w:rPr>
        <w:t xml:space="preserve">  </w:t>
      </w:r>
      <w:r w:rsidRPr="00E54204">
        <w:rPr>
          <w:szCs w:val="20"/>
        </w:rPr>
        <w:t>Nevertheless, it appears that for many communities in antiquity, particularly Jews and Christians, chance utteran</w:t>
      </w:r>
      <w:r w:rsidR="00301D99" w:rsidRPr="00E54204">
        <w:rPr>
          <w:szCs w:val="20"/>
        </w:rPr>
        <w:t xml:space="preserve">ces were considered acceptable means for receiving </w:t>
      </w:r>
      <w:r w:rsidRPr="00E54204">
        <w:rPr>
          <w:szCs w:val="20"/>
        </w:rPr>
        <w:t>divine messages</w:t>
      </w:r>
      <w:r w:rsidR="008D2ED0" w:rsidRPr="00E54204">
        <w:rPr>
          <w:szCs w:val="20"/>
        </w:rPr>
        <w:t>.  Lieberman</w:t>
      </w:r>
      <w:r w:rsidRPr="00E54204">
        <w:rPr>
          <w:szCs w:val="20"/>
        </w:rPr>
        <w:t xml:space="preserve"> observed that the rabbis viewed chance utterances actually as a heavenly sign</w:t>
      </w:r>
      <w:r w:rsidRPr="00E54204">
        <w:rPr>
          <w:szCs w:val="20"/>
          <w:vertAlign w:val="superscript"/>
        </w:rPr>
        <w:footnoteReference w:id="210"/>
      </w:r>
      <w:r w:rsidRPr="00E54204">
        <w:rPr>
          <w:szCs w:val="20"/>
        </w:rPr>
        <w:t xml:space="preserve"> which in turn acted like a form of prophecy.</w:t>
      </w:r>
      <w:r w:rsidRPr="00E54204">
        <w:rPr>
          <w:szCs w:val="20"/>
          <w:vertAlign w:val="superscript"/>
        </w:rPr>
        <w:footnoteReference w:id="211"/>
      </w:r>
    </w:p>
    <w:p w14:paraId="0BB3B3FC" w14:textId="77777777" w:rsidR="00AA1903" w:rsidRPr="00E54204" w:rsidRDefault="00B9716A" w:rsidP="00AA1903">
      <w:pPr>
        <w:spacing w:after="160"/>
        <w:rPr>
          <w:szCs w:val="20"/>
        </w:rPr>
      </w:pPr>
      <w:r w:rsidRPr="00E54204">
        <w:rPr>
          <w:szCs w:val="20"/>
        </w:rPr>
        <w:tab/>
        <w:t>I have briefly reviewed a selection of</w:t>
      </w:r>
      <w:r w:rsidR="00AA1903" w:rsidRPr="00E54204">
        <w:rPr>
          <w:szCs w:val="20"/>
        </w:rPr>
        <w:t xml:space="preserve"> Scriptural passages that seem most salient to the concept of the </w:t>
      </w:r>
      <w:r w:rsidR="00AA1903" w:rsidRPr="00E54204">
        <w:rPr>
          <w:i/>
          <w:szCs w:val="20"/>
        </w:rPr>
        <w:t>bat kol</w:t>
      </w:r>
      <w:r w:rsidR="006F0ACE" w:rsidRPr="00E54204">
        <w:rPr>
          <w:szCs w:val="20"/>
        </w:rPr>
        <w:t>,</w:t>
      </w:r>
      <w:r w:rsidRPr="00E54204">
        <w:rPr>
          <w:szCs w:val="20"/>
        </w:rPr>
        <w:t xml:space="preserve"> </w:t>
      </w:r>
      <w:r w:rsidR="00AA1903" w:rsidRPr="00E54204">
        <w:rPr>
          <w:szCs w:val="20"/>
        </w:rPr>
        <w:t xml:space="preserve">an unidentifiable speaker, sometimes from heaven, randomly intervenes in a story with an </w:t>
      </w:r>
      <w:r w:rsidRPr="00E54204">
        <w:rPr>
          <w:szCs w:val="20"/>
        </w:rPr>
        <w:t>important message</w:t>
      </w:r>
      <w:r w:rsidR="006F0ACE" w:rsidRPr="00E54204">
        <w:rPr>
          <w:szCs w:val="20"/>
        </w:rPr>
        <w:t xml:space="preserve"> for an individual</w:t>
      </w:r>
      <w:r w:rsidRPr="00E54204">
        <w:rPr>
          <w:szCs w:val="20"/>
        </w:rPr>
        <w:t>.  There are other</w:t>
      </w:r>
      <w:r w:rsidR="00AA1903" w:rsidRPr="00E54204">
        <w:rPr>
          <w:szCs w:val="20"/>
        </w:rPr>
        <w:t xml:space="preserve"> Biblical passages that could</w:t>
      </w:r>
      <w:r w:rsidRPr="00E54204">
        <w:rPr>
          <w:szCs w:val="20"/>
        </w:rPr>
        <w:t xml:space="preserve"> be expounded to draw out</w:t>
      </w:r>
      <w:r w:rsidR="00AA1903" w:rsidRPr="00E54204">
        <w:rPr>
          <w:szCs w:val="20"/>
        </w:rPr>
        <w:t xml:space="preserve"> parallels with the </w:t>
      </w:r>
      <w:r w:rsidR="00AA1903" w:rsidRPr="00E54204">
        <w:rPr>
          <w:i/>
          <w:szCs w:val="20"/>
        </w:rPr>
        <w:t>bat kol</w:t>
      </w:r>
      <w:r w:rsidR="008B76E8" w:rsidRPr="00E54204">
        <w:rPr>
          <w:szCs w:val="20"/>
        </w:rPr>
        <w:t>;</w:t>
      </w:r>
      <w:r w:rsidRPr="00E54204">
        <w:rPr>
          <w:szCs w:val="20"/>
        </w:rPr>
        <w:t xml:space="preserve"> however</w:t>
      </w:r>
      <w:r w:rsidR="008B76E8" w:rsidRPr="00E54204">
        <w:rPr>
          <w:szCs w:val="20"/>
        </w:rPr>
        <w:t>,</w:t>
      </w:r>
      <w:r w:rsidRPr="00E54204">
        <w:rPr>
          <w:szCs w:val="20"/>
        </w:rPr>
        <w:t xml:space="preserve"> the examples provided in this section</w:t>
      </w:r>
      <w:r w:rsidR="006F0ACE" w:rsidRPr="00E54204">
        <w:rPr>
          <w:szCs w:val="20"/>
        </w:rPr>
        <w:t xml:space="preserve"> contain greatest similitude</w:t>
      </w:r>
      <w:r w:rsidRPr="00E54204">
        <w:rPr>
          <w:szCs w:val="20"/>
        </w:rPr>
        <w:t>.</w:t>
      </w:r>
      <w:r w:rsidR="00AA1903" w:rsidRPr="00E54204">
        <w:rPr>
          <w:szCs w:val="20"/>
          <w:vertAlign w:val="superscript"/>
        </w:rPr>
        <w:footnoteReference w:id="212"/>
      </w:r>
      <w:r w:rsidR="00AA1903" w:rsidRPr="00E54204">
        <w:rPr>
          <w:szCs w:val="20"/>
        </w:rPr>
        <w:t xml:space="preserve">  In summary, concerning the Biblical texts, the Hebrew word for voice (</w:t>
      </w:r>
      <w:r w:rsidR="00AA1903" w:rsidRPr="00E54204">
        <w:rPr>
          <w:i/>
          <w:szCs w:val="20"/>
        </w:rPr>
        <w:t>kol</w:t>
      </w:r>
      <w:r w:rsidR="00AA1903" w:rsidRPr="00E54204">
        <w:rPr>
          <w:szCs w:val="20"/>
        </w:rPr>
        <w:t xml:space="preserve">) came to signify, more than a mere noise, namely the revelation of God.  Betz summarizes the concept of “voice” as follows: “In distinction from the naive mythological speech of God, when He addressed Himself like a man to the patriarchs, Moses and Joshua, the word </w:t>
      </w:r>
      <w:r w:rsidR="00AA1903" w:rsidRPr="00E54204">
        <w:rPr>
          <w:rFonts w:cs="Times New Roman"/>
          <w:szCs w:val="20"/>
          <w:rtl/>
          <w:lang w:bidi="he-IL"/>
        </w:rPr>
        <w:t>קוֹל</w:t>
      </w:r>
      <w:r w:rsidR="00AA1903" w:rsidRPr="00E54204">
        <w:rPr>
          <w:szCs w:val="20"/>
        </w:rPr>
        <w:t xml:space="preserve"> (</w:t>
      </w:r>
      <w:r w:rsidR="00AA1903" w:rsidRPr="00E54204">
        <w:rPr>
          <w:i/>
          <w:szCs w:val="20"/>
        </w:rPr>
        <w:t>kol</w:t>
      </w:r>
      <w:r w:rsidR="00AA1903" w:rsidRPr="00E54204">
        <w:rPr>
          <w:szCs w:val="20"/>
        </w:rPr>
        <w:t>) points to the superhuman and numinous power of the divine revelation…”</w:t>
      </w:r>
      <w:r w:rsidR="00AA1903" w:rsidRPr="00E54204">
        <w:rPr>
          <w:szCs w:val="20"/>
          <w:vertAlign w:val="superscript"/>
        </w:rPr>
        <w:footnoteReference w:id="213"/>
      </w:r>
      <w:r w:rsidR="00196E42" w:rsidRPr="00E54204">
        <w:rPr>
          <w:szCs w:val="20"/>
        </w:rPr>
        <w:t xml:space="preserve">  Thus, according to Betz, </w:t>
      </w:r>
      <w:r w:rsidR="008B76E8" w:rsidRPr="00E54204">
        <w:rPr>
          <w:i/>
          <w:szCs w:val="20"/>
        </w:rPr>
        <w:t>kol</w:t>
      </w:r>
      <w:r w:rsidR="00196E42" w:rsidRPr="00E54204">
        <w:rPr>
          <w:i/>
          <w:szCs w:val="20"/>
        </w:rPr>
        <w:t xml:space="preserve"> </w:t>
      </w:r>
      <w:r w:rsidR="00196E42" w:rsidRPr="00E54204">
        <w:rPr>
          <w:szCs w:val="20"/>
        </w:rPr>
        <w:t xml:space="preserve">came to signify </w:t>
      </w:r>
      <w:r w:rsidR="00AA1903" w:rsidRPr="00E54204">
        <w:rPr>
          <w:szCs w:val="20"/>
        </w:rPr>
        <w:t xml:space="preserve">revelation of </w:t>
      </w:r>
      <w:r w:rsidR="00196E42" w:rsidRPr="00E54204">
        <w:rPr>
          <w:szCs w:val="20"/>
        </w:rPr>
        <w:t>the most mysterious and sublime</w:t>
      </w:r>
      <w:r w:rsidR="00AA1903" w:rsidRPr="00E54204">
        <w:rPr>
          <w:szCs w:val="20"/>
        </w:rPr>
        <w:t>.  Suffice it to say that the world of the rabbis, as made explicit in their commentaries, was replete with allusions and metaphors of the Biblical text.  They were exceedingly proficient in the text, capable of explaining the most anomalous of phrases or peculiar of sentences with creative</w:t>
      </w:r>
      <w:r w:rsidR="00C60173" w:rsidRPr="00E54204">
        <w:rPr>
          <w:szCs w:val="20"/>
        </w:rPr>
        <w:t xml:space="preserve"> and insightful interpretations and or commentaries.</w:t>
      </w:r>
    </w:p>
    <w:p w14:paraId="080C8179" w14:textId="77777777" w:rsidR="00AA1903" w:rsidRPr="00E54204" w:rsidRDefault="00EC6221" w:rsidP="00AA1903">
      <w:pPr>
        <w:spacing w:after="160"/>
        <w:rPr>
          <w:i/>
          <w:szCs w:val="20"/>
        </w:rPr>
      </w:pPr>
      <w:r w:rsidRPr="00E54204">
        <w:rPr>
          <w:szCs w:val="20"/>
        </w:rPr>
        <w:t>B.</w:t>
      </w:r>
      <w:r w:rsidRPr="00E54204">
        <w:rPr>
          <w:szCs w:val="20"/>
        </w:rPr>
        <w:tab/>
      </w:r>
      <w:r w:rsidR="00AA1903" w:rsidRPr="00E54204">
        <w:rPr>
          <w:i/>
          <w:szCs w:val="20"/>
        </w:rPr>
        <w:t>Apocalypticism:</w:t>
      </w:r>
    </w:p>
    <w:p w14:paraId="62CFB7E7" w14:textId="77777777" w:rsidR="00AA1903" w:rsidRPr="00E54204" w:rsidRDefault="00AA1903" w:rsidP="004D6D82">
      <w:pPr>
        <w:spacing w:after="160"/>
        <w:ind w:firstLine="720"/>
        <w:rPr>
          <w:szCs w:val="20"/>
        </w:rPr>
      </w:pPr>
      <w:r w:rsidRPr="00E54204">
        <w:rPr>
          <w:szCs w:val="20"/>
        </w:rPr>
        <w:t>The Dead Sea scrolls were an important discovery for better understanding the wider beliefs and practices of the Second Temple period.  This was a community heavily-apocalyptic in orientation as attested by the works found in numerous caves near their compound on the northwestern shore of the Dead Sea.  This group, presumed they were living the days prophesied by the Biblical prophets, prior to God meting out justice and redeeming the righteous of Israel.  This group undoubtedly picked up on the Deuteronomistic expression, “listen to the voice of the LORD.”</w:t>
      </w:r>
      <w:r w:rsidRPr="00E54204">
        <w:rPr>
          <w:szCs w:val="20"/>
          <w:vertAlign w:val="superscript"/>
        </w:rPr>
        <w:footnoteReference w:id="214"/>
      </w:r>
      <w:r w:rsidRPr="00E54204">
        <w:rPr>
          <w:szCs w:val="20"/>
        </w:rPr>
        <w:t xml:space="preserve">  In what is known as the </w:t>
      </w:r>
      <w:r w:rsidRPr="00E54204">
        <w:rPr>
          <w:i/>
          <w:szCs w:val="20"/>
        </w:rPr>
        <w:t>War Scroll</w:t>
      </w:r>
      <w:r w:rsidRPr="00E54204">
        <w:rPr>
          <w:szCs w:val="20"/>
        </w:rPr>
        <w:t>, the true Israel are called, “hearers of the divine voice.”</w:t>
      </w:r>
      <w:r w:rsidRPr="00E54204">
        <w:rPr>
          <w:szCs w:val="20"/>
          <w:vertAlign w:val="superscript"/>
        </w:rPr>
        <w:footnoteReference w:id="215"/>
      </w:r>
      <w:r w:rsidRPr="00E54204">
        <w:rPr>
          <w:szCs w:val="20"/>
        </w:rPr>
        <w:t xml:space="preserve">  Similarly the sect considered obedience to Torah as, “hearkening to the voice of the teacher of righteousness.”</w:t>
      </w:r>
      <w:r w:rsidRPr="00E54204">
        <w:rPr>
          <w:szCs w:val="20"/>
          <w:vertAlign w:val="superscript"/>
        </w:rPr>
        <w:footnoteReference w:id="216"/>
      </w:r>
      <w:r w:rsidRPr="00E54204">
        <w:rPr>
          <w:szCs w:val="20"/>
        </w:rPr>
        <w:t xml:space="preserve">  Hence, God’s original voice at Mt. Sinai</w:t>
      </w:r>
      <w:r w:rsidR="00186206" w:rsidRPr="00E54204">
        <w:rPr>
          <w:szCs w:val="20"/>
        </w:rPr>
        <w:t>, in some way, continues to echo</w:t>
      </w:r>
      <w:r w:rsidRPr="00E54204">
        <w:rPr>
          <w:szCs w:val="20"/>
        </w:rPr>
        <w:t xml:space="preserve"> th</w:t>
      </w:r>
      <w:r w:rsidR="00186206" w:rsidRPr="00E54204">
        <w:rPr>
          <w:szCs w:val="20"/>
        </w:rPr>
        <w:t xml:space="preserve">rough the annals of time via the written Scriptures and their interpretations.  Subsequently, the expositors of the Biblical text become the conduit of the divine voice, and thus, those who adhere to such teachings fulfill the call to hearken to the voice of the LORD.  </w:t>
      </w:r>
      <w:r w:rsidRPr="00E54204">
        <w:rPr>
          <w:szCs w:val="20"/>
        </w:rPr>
        <w:t>Consequently, we begin to view the</w:t>
      </w:r>
      <w:r w:rsidR="00C60173" w:rsidRPr="00E54204">
        <w:rPr>
          <w:szCs w:val="20"/>
        </w:rPr>
        <w:t xml:space="preserve"> theological</w:t>
      </w:r>
      <w:r w:rsidRPr="00E54204">
        <w:rPr>
          <w:szCs w:val="20"/>
        </w:rPr>
        <w:t xml:space="preserve"> importance ascribed to God’s voice</w:t>
      </w:r>
      <w:r w:rsidR="00C60173" w:rsidRPr="00E54204">
        <w:rPr>
          <w:szCs w:val="20"/>
        </w:rPr>
        <w:t xml:space="preserve">, at least in one sect, of </w:t>
      </w:r>
      <w:r w:rsidRPr="00E54204">
        <w:rPr>
          <w:szCs w:val="20"/>
        </w:rPr>
        <w:t>the</w:t>
      </w:r>
      <w:r w:rsidR="00186206" w:rsidRPr="00E54204">
        <w:rPr>
          <w:szCs w:val="20"/>
        </w:rPr>
        <w:t xml:space="preserve"> late-</w:t>
      </w:r>
      <w:r w:rsidRPr="00E54204">
        <w:rPr>
          <w:szCs w:val="20"/>
        </w:rPr>
        <w:t xml:space="preserve">Second Temple period.  </w:t>
      </w:r>
    </w:p>
    <w:p w14:paraId="55CEF48E" w14:textId="77777777" w:rsidR="00AA1903" w:rsidRPr="00E54204" w:rsidRDefault="00AA1903" w:rsidP="004D6D82">
      <w:pPr>
        <w:spacing w:after="160"/>
        <w:ind w:firstLine="720"/>
        <w:rPr>
          <w:szCs w:val="20"/>
        </w:rPr>
      </w:pPr>
      <w:r w:rsidRPr="00E54204">
        <w:rPr>
          <w:szCs w:val="20"/>
        </w:rPr>
        <w:t xml:space="preserve">In addition, they enacted meals which rehearsed </w:t>
      </w:r>
      <w:r w:rsidR="008F29DF" w:rsidRPr="00E54204">
        <w:rPr>
          <w:szCs w:val="20"/>
        </w:rPr>
        <w:t>the great Messianic banquet in which they anticipated partaking</w:t>
      </w:r>
      <w:r w:rsidRPr="00E54204">
        <w:rPr>
          <w:szCs w:val="20"/>
        </w:rPr>
        <w:t xml:space="preserve">.  Furthermore, discovered with the agglomeration of Biblical scrolls, were non-Biblical writings known as </w:t>
      </w:r>
      <w:r w:rsidR="00265C89" w:rsidRPr="00E54204">
        <w:rPr>
          <w:i/>
          <w:szCs w:val="20"/>
        </w:rPr>
        <w:t>A</w:t>
      </w:r>
      <w:r w:rsidRPr="00E54204">
        <w:rPr>
          <w:i/>
          <w:szCs w:val="20"/>
        </w:rPr>
        <w:t>pocrypha</w:t>
      </w:r>
      <w:r w:rsidRPr="00E54204">
        <w:rPr>
          <w:szCs w:val="20"/>
        </w:rPr>
        <w:t>.</w:t>
      </w:r>
      <w:r w:rsidR="00395026" w:rsidRPr="00E54204">
        <w:rPr>
          <w:rStyle w:val="FootnoteReference"/>
          <w:szCs w:val="20"/>
        </w:rPr>
        <w:footnoteReference w:id="217"/>
      </w:r>
      <w:r w:rsidRPr="00E54204">
        <w:rPr>
          <w:szCs w:val="20"/>
        </w:rPr>
        <w:t xml:space="preserve">  One prominent apoc</w:t>
      </w:r>
      <w:r w:rsidR="006A5778" w:rsidRPr="00E54204">
        <w:rPr>
          <w:szCs w:val="20"/>
        </w:rPr>
        <w:t>alyptic work</w:t>
      </w:r>
      <w:r w:rsidR="00B104ED" w:rsidRPr="00E54204">
        <w:rPr>
          <w:szCs w:val="20"/>
        </w:rPr>
        <w:t>, which I will discuss in more detail,</w:t>
      </w:r>
      <w:r w:rsidR="006A5778" w:rsidRPr="00E54204">
        <w:rPr>
          <w:szCs w:val="20"/>
        </w:rPr>
        <w:t xml:space="preserve"> was</w:t>
      </w:r>
      <w:r w:rsidRPr="00E54204">
        <w:rPr>
          <w:szCs w:val="20"/>
        </w:rPr>
        <w:t xml:space="preserve"> the </w:t>
      </w:r>
      <w:r w:rsidR="00B104ED" w:rsidRPr="00E54204">
        <w:rPr>
          <w:szCs w:val="20"/>
        </w:rPr>
        <w:t xml:space="preserve">book of 4 Ezra (2 Esdras: 3-14).  </w:t>
      </w:r>
      <w:r w:rsidRPr="00E54204">
        <w:rPr>
          <w:szCs w:val="20"/>
        </w:rPr>
        <w:t xml:space="preserve">Lawrence Schiffman, in his book </w:t>
      </w:r>
      <w:r w:rsidRPr="00E54204">
        <w:rPr>
          <w:i/>
          <w:szCs w:val="20"/>
        </w:rPr>
        <w:t>From Text to Tradition</w:t>
      </w:r>
      <w:r w:rsidRPr="00E54204">
        <w:rPr>
          <w:szCs w:val="20"/>
        </w:rPr>
        <w:t xml:space="preserve"> expounds on the genre of apocalyptic as, “…books which present revelations in a narrative framework in which an otherworldly being discloses mysteries to a human being.  These revelations usually concern both eschatological salvation and a supernatural world.”</w:t>
      </w:r>
      <w:r w:rsidRPr="00E54204">
        <w:rPr>
          <w:szCs w:val="20"/>
          <w:vertAlign w:val="superscript"/>
        </w:rPr>
        <w:footnoteReference w:id="218"/>
      </w:r>
      <w:r w:rsidRPr="00E54204">
        <w:rPr>
          <w:szCs w:val="20"/>
        </w:rPr>
        <w:t xml:space="preserve">  Naturally, challenging social, economic, and even religious periods may have fomented the eschatological expectations reflected in apo</w:t>
      </w:r>
      <w:r w:rsidR="008F29DF" w:rsidRPr="00E54204">
        <w:rPr>
          <w:szCs w:val="20"/>
        </w:rPr>
        <w:t>calyptic literature.  I suggest</w:t>
      </w:r>
      <w:r w:rsidR="00FF7F8B" w:rsidRPr="00E54204">
        <w:rPr>
          <w:szCs w:val="20"/>
        </w:rPr>
        <w:t xml:space="preserve"> the “voices from heaven” of</w:t>
      </w:r>
      <w:r w:rsidRPr="00E54204">
        <w:rPr>
          <w:szCs w:val="20"/>
        </w:rPr>
        <w:t xml:space="preserve"> this</w:t>
      </w:r>
      <w:r w:rsidR="00FF7F8B" w:rsidRPr="00E54204">
        <w:rPr>
          <w:szCs w:val="20"/>
        </w:rPr>
        <w:t xml:space="preserve"> genre are worth noting due to factors, such as their proximity in geographical location and time to the rabbis as well as important shared themes between the two collection of writings; like dealing with issues of suffering and the reward of the righteous and the wicked.  However, there are noticeable differences as well; </w:t>
      </w:r>
      <w:r w:rsidR="0052132B" w:rsidRPr="00E54204">
        <w:rPr>
          <w:szCs w:val="20"/>
        </w:rPr>
        <w:t>voices</w:t>
      </w:r>
      <w:r w:rsidR="00FF7F8B" w:rsidRPr="00E54204">
        <w:rPr>
          <w:szCs w:val="20"/>
        </w:rPr>
        <w:t xml:space="preserve"> in apocalyptic writings</w:t>
      </w:r>
      <w:r w:rsidR="0052132B" w:rsidRPr="00E54204">
        <w:rPr>
          <w:szCs w:val="20"/>
        </w:rPr>
        <w:t xml:space="preserve"> typically manifest in heaven while the </w:t>
      </w:r>
      <w:r w:rsidR="0052132B" w:rsidRPr="00E54204">
        <w:rPr>
          <w:i/>
          <w:szCs w:val="20"/>
        </w:rPr>
        <w:t>bat kol</w:t>
      </w:r>
      <w:r w:rsidR="00210925" w:rsidRPr="00E54204">
        <w:rPr>
          <w:szCs w:val="20"/>
        </w:rPr>
        <w:t xml:space="preserve"> does so</w:t>
      </w:r>
      <w:r w:rsidR="0052132B" w:rsidRPr="00E54204">
        <w:rPr>
          <w:i/>
          <w:szCs w:val="20"/>
        </w:rPr>
        <w:t xml:space="preserve"> </w:t>
      </w:r>
      <w:r w:rsidR="0052132B" w:rsidRPr="00E54204">
        <w:rPr>
          <w:szCs w:val="20"/>
        </w:rPr>
        <w:t>on earth.</w:t>
      </w:r>
    </w:p>
    <w:p w14:paraId="7F88CB0B" w14:textId="77777777" w:rsidR="00AA1903" w:rsidRPr="00E54204" w:rsidRDefault="00AA1903" w:rsidP="004D6D82">
      <w:pPr>
        <w:spacing w:after="160"/>
        <w:ind w:firstLine="720"/>
        <w:rPr>
          <w:szCs w:val="20"/>
        </w:rPr>
      </w:pPr>
      <w:r w:rsidRPr="00E54204">
        <w:rPr>
          <w:szCs w:val="20"/>
        </w:rPr>
        <w:t>The following section will be an overview of selected apocalyptic texts as they depict the imagery of voices resounding from heaven.</w:t>
      </w:r>
      <w:r w:rsidR="00587678" w:rsidRPr="00E54204">
        <w:rPr>
          <w:szCs w:val="20"/>
        </w:rPr>
        <w:t xml:space="preserve">  </w:t>
      </w:r>
      <w:r w:rsidRPr="00E54204">
        <w:rPr>
          <w:szCs w:val="20"/>
        </w:rPr>
        <w:t xml:space="preserve">The word apocalypse comes from the Greek word </w:t>
      </w:r>
      <w:r w:rsidRPr="00E54204">
        <w:rPr>
          <w:rFonts w:cs="Times New Roman"/>
          <w:szCs w:val="20"/>
        </w:rPr>
        <w:t>αποκαλύπτω</w:t>
      </w:r>
      <w:r w:rsidRPr="00E54204">
        <w:rPr>
          <w:szCs w:val="20"/>
        </w:rPr>
        <w:t xml:space="preserve"> (</w:t>
      </w:r>
      <w:r w:rsidRPr="00E54204">
        <w:rPr>
          <w:i/>
          <w:szCs w:val="20"/>
        </w:rPr>
        <w:t>apokalupto</w:t>
      </w:r>
      <w:r w:rsidRPr="00E54204">
        <w:rPr>
          <w:szCs w:val="20"/>
        </w:rPr>
        <w:t>)</w:t>
      </w:r>
      <w:r w:rsidRPr="00E54204">
        <w:rPr>
          <w:i/>
          <w:szCs w:val="20"/>
        </w:rPr>
        <w:t xml:space="preserve"> </w:t>
      </w:r>
      <w:r w:rsidRPr="00E54204">
        <w:rPr>
          <w:szCs w:val="20"/>
        </w:rPr>
        <w:t>meaning “to uncover” or “to reveal.”</w:t>
      </w:r>
      <w:r w:rsidRPr="00E54204">
        <w:rPr>
          <w:szCs w:val="20"/>
          <w:vertAlign w:val="superscript"/>
        </w:rPr>
        <w:footnoteReference w:id="219"/>
      </w:r>
      <w:r w:rsidRPr="00E54204">
        <w:rPr>
          <w:szCs w:val="20"/>
        </w:rPr>
        <w:t xml:space="preserve">  It was </w:t>
      </w:r>
      <w:r w:rsidR="00C60173" w:rsidRPr="00E54204">
        <w:rPr>
          <w:szCs w:val="20"/>
        </w:rPr>
        <w:t xml:space="preserve">typically </w:t>
      </w:r>
      <w:r w:rsidRPr="00E54204">
        <w:rPr>
          <w:szCs w:val="20"/>
        </w:rPr>
        <w:t>not used in antiquity as a designa</w:t>
      </w:r>
      <w:r w:rsidR="00C60173" w:rsidRPr="00E54204">
        <w:rPr>
          <w:szCs w:val="20"/>
        </w:rPr>
        <w:t>ti</w:t>
      </w:r>
      <w:r w:rsidR="00052782" w:rsidRPr="00E54204">
        <w:rPr>
          <w:szCs w:val="20"/>
        </w:rPr>
        <w:t>on for certain types of texts.</w:t>
      </w:r>
      <w:r w:rsidR="00052782" w:rsidRPr="00E54204">
        <w:rPr>
          <w:rStyle w:val="FootnoteReference"/>
          <w:szCs w:val="20"/>
        </w:rPr>
        <w:footnoteReference w:id="220"/>
      </w:r>
      <w:r w:rsidR="00C60173" w:rsidRPr="00E54204">
        <w:rPr>
          <w:szCs w:val="20"/>
        </w:rPr>
        <w:t xml:space="preserve"> </w:t>
      </w:r>
      <w:r w:rsidR="00052782" w:rsidRPr="00E54204">
        <w:rPr>
          <w:szCs w:val="20"/>
        </w:rPr>
        <w:t xml:space="preserve"> </w:t>
      </w:r>
      <w:r w:rsidR="00C60173" w:rsidRPr="00E54204">
        <w:rPr>
          <w:szCs w:val="20"/>
        </w:rPr>
        <w:t>H</w:t>
      </w:r>
      <w:r w:rsidRPr="00E54204">
        <w:rPr>
          <w:szCs w:val="20"/>
        </w:rPr>
        <w:t>owever, scholars, particularly beginning in the nineteenth century</w:t>
      </w:r>
      <w:r w:rsidRPr="00E54204">
        <w:rPr>
          <w:szCs w:val="20"/>
          <w:vertAlign w:val="superscript"/>
        </w:rPr>
        <w:footnoteReference w:id="221"/>
      </w:r>
      <w:r w:rsidRPr="00E54204">
        <w:rPr>
          <w:szCs w:val="20"/>
        </w:rPr>
        <w:t xml:space="preserve"> have identified se</w:t>
      </w:r>
      <w:r w:rsidR="00052782" w:rsidRPr="00E54204">
        <w:rPr>
          <w:szCs w:val="20"/>
        </w:rPr>
        <w:t>veral clusters of traits which many of these works share</w:t>
      </w:r>
      <w:r w:rsidRPr="00E54204">
        <w:rPr>
          <w:szCs w:val="20"/>
        </w:rPr>
        <w:t xml:space="preserve"> in common,</w:t>
      </w:r>
      <w:r w:rsidRPr="00E54204">
        <w:rPr>
          <w:szCs w:val="20"/>
          <w:vertAlign w:val="superscript"/>
        </w:rPr>
        <w:footnoteReference w:id="222"/>
      </w:r>
      <w:r w:rsidRPr="00E54204">
        <w:rPr>
          <w:szCs w:val="20"/>
        </w:rPr>
        <w:t xml:space="preserve"> chiefly, a narrative retelling of a heavenly ascent mediated by an angel or otherworldly being.</w:t>
      </w:r>
      <w:r w:rsidRPr="00E54204">
        <w:rPr>
          <w:szCs w:val="20"/>
          <w:vertAlign w:val="superscript"/>
        </w:rPr>
        <w:footnoteReference w:id="223"/>
      </w:r>
      <w:r w:rsidR="00C60173" w:rsidRPr="00E54204">
        <w:rPr>
          <w:szCs w:val="20"/>
        </w:rPr>
        <w:t xml:space="preserve">  </w:t>
      </w:r>
      <w:r w:rsidRPr="00E54204">
        <w:rPr>
          <w:szCs w:val="20"/>
        </w:rPr>
        <w:t>Moreover, according to Daniel Harlow, heavenly ascents were employed in Hellenistic Judaism for the purposes of resolving theodicy</w:t>
      </w:r>
      <w:r w:rsidRPr="00E54204">
        <w:rPr>
          <w:szCs w:val="20"/>
          <w:vertAlign w:val="superscript"/>
        </w:rPr>
        <w:footnoteReference w:id="224"/>
      </w:r>
      <w:r w:rsidR="00633307" w:rsidRPr="00E54204">
        <w:rPr>
          <w:szCs w:val="20"/>
        </w:rPr>
        <w:t xml:space="preserve"> in the wake of several</w:t>
      </w:r>
      <w:r w:rsidRPr="00E54204">
        <w:rPr>
          <w:szCs w:val="20"/>
        </w:rPr>
        <w:t xml:space="preserve"> tragedies.</w:t>
      </w:r>
      <w:r w:rsidRPr="00E54204">
        <w:rPr>
          <w:szCs w:val="20"/>
          <w:vertAlign w:val="superscript"/>
        </w:rPr>
        <w:footnoteReference w:id="225"/>
      </w:r>
      <w:r w:rsidRPr="00E54204">
        <w:rPr>
          <w:szCs w:val="20"/>
        </w:rPr>
        <w:t xml:space="preserve">  This is a major theme for several major apocalyptic texts.</w:t>
      </w:r>
    </w:p>
    <w:p w14:paraId="3DE24E92" w14:textId="77777777" w:rsidR="00AA1903" w:rsidRPr="00E54204" w:rsidRDefault="00105157" w:rsidP="004D6D82">
      <w:pPr>
        <w:spacing w:after="160"/>
        <w:ind w:firstLine="720"/>
        <w:rPr>
          <w:szCs w:val="20"/>
        </w:rPr>
      </w:pPr>
      <w:r w:rsidRPr="00E54204">
        <w:rPr>
          <w:szCs w:val="20"/>
        </w:rPr>
        <w:t>A few</w:t>
      </w:r>
      <w:r w:rsidR="00AA1903" w:rsidRPr="00E54204">
        <w:rPr>
          <w:szCs w:val="20"/>
        </w:rPr>
        <w:t xml:space="preserve"> commonly known (Jewish) texts include: Daniel, 1 </w:t>
      </w:r>
      <w:r w:rsidR="00AA1903" w:rsidRPr="00E54204">
        <w:rPr>
          <w:i/>
          <w:szCs w:val="20"/>
        </w:rPr>
        <w:t>Enoch</w:t>
      </w:r>
      <w:r w:rsidR="00AA1903" w:rsidRPr="00E54204">
        <w:rPr>
          <w:szCs w:val="20"/>
        </w:rPr>
        <w:t xml:space="preserve">, 4 Ezra, and the </w:t>
      </w:r>
      <w:r w:rsidR="00AA1903" w:rsidRPr="00E54204">
        <w:rPr>
          <w:i/>
          <w:szCs w:val="20"/>
        </w:rPr>
        <w:t>Sibylline Oracles</w:t>
      </w:r>
      <w:r w:rsidR="00AA1903" w:rsidRPr="00E54204">
        <w:rPr>
          <w:szCs w:val="20"/>
        </w:rPr>
        <w:t>.</w:t>
      </w:r>
      <w:r w:rsidR="00AA1903" w:rsidRPr="00E54204">
        <w:rPr>
          <w:szCs w:val="20"/>
          <w:vertAlign w:val="superscript"/>
        </w:rPr>
        <w:footnoteReference w:id="226"/>
      </w:r>
      <w:r w:rsidR="00052782" w:rsidRPr="00E54204">
        <w:rPr>
          <w:szCs w:val="20"/>
        </w:rPr>
        <w:t xml:space="preserve">  </w:t>
      </w:r>
      <w:r w:rsidR="00AA1903" w:rsidRPr="00E54204">
        <w:rPr>
          <w:szCs w:val="20"/>
        </w:rPr>
        <w:t>Some of its predominant themes include the problem of evil in the world, reward and punish</w:t>
      </w:r>
      <w:r w:rsidR="005F513D" w:rsidRPr="00E54204">
        <w:rPr>
          <w:szCs w:val="20"/>
        </w:rPr>
        <w:t>ment after death, the heavenly T</w:t>
      </w:r>
      <w:r w:rsidR="00AA1903" w:rsidRPr="00E54204">
        <w:rPr>
          <w:szCs w:val="20"/>
        </w:rPr>
        <w:t>emple, and the divine throne room.</w:t>
      </w:r>
      <w:r w:rsidR="00AA1903" w:rsidRPr="00E54204">
        <w:rPr>
          <w:szCs w:val="20"/>
          <w:vertAlign w:val="superscript"/>
        </w:rPr>
        <w:footnoteReference w:id="227"/>
      </w:r>
      <w:r w:rsidR="00AA1903" w:rsidRPr="00E54204">
        <w:rPr>
          <w:szCs w:val="20"/>
        </w:rPr>
        <w:t xml:space="preserve">  Though he does not expound, D.S. Russell opined that every reference to heavenly voices in apocalyptic literature is the rabbinic </w:t>
      </w:r>
      <w:r w:rsidR="00AA1903" w:rsidRPr="00E54204">
        <w:rPr>
          <w:i/>
          <w:szCs w:val="20"/>
        </w:rPr>
        <w:t>bat kol</w:t>
      </w:r>
      <w:r w:rsidR="00AA1903" w:rsidRPr="00E54204">
        <w:rPr>
          <w:szCs w:val="20"/>
        </w:rPr>
        <w:t>.</w:t>
      </w:r>
      <w:r w:rsidR="00AA1903" w:rsidRPr="00E54204">
        <w:rPr>
          <w:szCs w:val="20"/>
          <w:vertAlign w:val="superscript"/>
        </w:rPr>
        <w:footnoteReference w:id="228"/>
      </w:r>
      <w:r w:rsidR="00AA1903" w:rsidRPr="00E54204">
        <w:rPr>
          <w:szCs w:val="20"/>
        </w:rPr>
        <w:t xml:space="preserve">  One could infer that factors like same geographical location and time period could have contributed</w:t>
      </w:r>
      <w:r w:rsidR="00745522" w:rsidRPr="00E54204">
        <w:rPr>
          <w:szCs w:val="20"/>
        </w:rPr>
        <w:t xml:space="preserve"> to the similarities in</w:t>
      </w:r>
      <w:r w:rsidR="00AA1903" w:rsidRPr="00E54204">
        <w:rPr>
          <w:szCs w:val="20"/>
        </w:rPr>
        <w:t xml:space="preserve"> terminology and leitmotifs.  My intention here is to draw out common themes and descriptive language so as to corroborate the view that </w:t>
      </w:r>
      <w:r w:rsidR="0052132B" w:rsidRPr="00E54204">
        <w:rPr>
          <w:szCs w:val="20"/>
        </w:rPr>
        <w:t>apocalyptic literature bore</w:t>
      </w:r>
      <w:r w:rsidR="00AA1903" w:rsidRPr="00E54204">
        <w:rPr>
          <w:szCs w:val="20"/>
        </w:rPr>
        <w:t xml:space="preserve"> influence upon the rabbis.     </w:t>
      </w:r>
    </w:p>
    <w:p w14:paraId="2DED0E55" w14:textId="77777777" w:rsidR="00AA1903" w:rsidRPr="00E54204" w:rsidRDefault="00AA1903" w:rsidP="004D6D82">
      <w:pPr>
        <w:spacing w:after="160"/>
        <w:ind w:firstLine="720"/>
        <w:rPr>
          <w:szCs w:val="20"/>
        </w:rPr>
      </w:pPr>
      <w:r w:rsidRPr="00E54204">
        <w:rPr>
          <w:szCs w:val="20"/>
        </w:rPr>
        <w:t>The texts to be consulted will be the</w:t>
      </w:r>
      <w:r w:rsidR="005053D3" w:rsidRPr="00E54204">
        <w:rPr>
          <w:szCs w:val="20"/>
        </w:rPr>
        <w:t xml:space="preserve"> pseude</w:t>
      </w:r>
      <w:r w:rsidRPr="00E54204">
        <w:rPr>
          <w:szCs w:val="20"/>
        </w:rPr>
        <w:t>pigrapha</w:t>
      </w:r>
      <w:r w:rsidRPr="00E54204">
        <w:rPr>
          <w:szCs w:val="20"/>
          <w:vertAlign w:val="superscript"/>
        </w:rPr>
        <w:footnoteReference w:id="229"/>
      </w:r>
      <w:r w:rsidRPr="00E54204">
        <w:rPr>
          <w:szCs w:val="20"/>
        </w:rPr>
        <w:t xml:space="preserve"> of 2 (Syriac) Baruch, 3 (Greek) Baruch, and 4 Ezra.  Louis Ginzberg was of the persuasion that the rabbis were completely opposed to apocalyptic lit</w:t>
      </w:r>
      <w:r w:rsidR="00C36FD9" w:rsidRPr="00E54204">
        <w:rPr>
          <w:szCs w:val="20"/>
        </w:rPr>
        <w:t>erature.  Essentially he argued</w:t>
      </w:r>
      <w:r w:rsidRPr="00E54204">
        <w:rPr>
          <w:szCs w:val="20"/>
        </w:rPr>
        <w:t xml:space="preserve"> that apocalyptists were raptured with another world which was deeply contrary to</w:t>
      </w:r>
      <w:r w:rsidR="00AD3D6B" w:rsidRPr="00E54204">
        <w:rPr>
          <w:szCs w:val="20"/>
        </w:rPr>
        <w:t xml:space="preserve"> the prerogative of the rabbis, their primary focus was on preserving and fostering their way of life. The sages </w:t>
      </w:r>
      <w:r w:rsidRPr="00E54204">
        <w:rPr>
          <w:szCs w:val="20"/>
        </w:rPr>
        <w:t>viewed themselves as guardians of the nation of Israel who knew all too well the deceits and rhetoric of charismatic visionaries.</w:t>
      </w:r>
      <w:r w:rsidRPr="00E54204">
        <w:rPr>
          <w:szCs w:val="20"/>
          <w:vertAlign w:val="superscript"/>
        </w:rPr>
        <w:footnoteReference w:id="230"/>
      </w:r>
      <w:r w:rsidRPr="00E54204">
        <w:rPr>
          <w:szCs w:val="20"/>
        </w:rPr>
        <w:t xml:space="preserve">  However, according to Robert Kirschner, the relationship is not as estranged as Ginz</w:t>
      </w:r>
      <w:r w:rsidR="00C36FD9" w:rsidRPr="00E54204">
        <w:rPr>
          <w:szCs w:val="20"/>
        </w:rPr>
        <w:t xml:space="preserve">berg argued.  Kirschner claims </w:t>
      </w:r>
      <w:r w:rsidRPr="00E54204">
        <w:rPr>
          <w:szCs w:val="20"/>
        </w:rPr>
        <w:t xml:space="preserve">it is now widely assumed that two apocalypses (2 Baruch and 4 Ezra) originated in </w:t>
      </w:r>
      <w:r w:rsidRPr="00E54204">
        <w:rPr>
          <w:i/>
          <w:szCs w:val="20"/>
        </w:rPr>
        <w:t>Tan</w:t>
      </w:r>
      <w:r w:rsidR="007B6C20" w:rsidRPr="00E54204">
        <w:rPr>
          <w:i/>
          <w:szCs w:val="20"/>
        </w:rPr>
        <w:t>naitic</w:t>
      </w:r>
      <w:r w:rsidR="007B6C20" w:rsidRPr="00E54204">
        <w:rPr>
          <w:szCs w:val="20"/>
        </w:rPr>
        <w:t xml:space="preserve"> circles</w:t>
      </w:r>
      <w:r w:rsidR="00AD0573" w:rsidRPr="00E54204">
        <w:rPr>
          <w:szCs w:val="20"/>
        </w:rPr>
        <w:t>.</w:t>
      </w:r>
      <w:r w:rsidR="000F2B46" w:rsidRPr="00E54204">
        <w:rPr>
          <w:rStyle w:val="FootnoteReference"/>
          <w:szCs w:val="20"/>
        </w:rPr>
        <w:footnoteReference w:id="231"/>
      </w:r>
      <w:r w:rsidR="00776F85" w:rsidRPr="00E54204">
        <w:rPr>
          <w:szCs w:val="20"/>
        </w:rPr>
        <w:t xml:space="preserve">  Also, a later M</w:t>
      </w:r>
      <w:r w:rsidRPr="00E54204">
        <w:rPr>
          <w:szCs w:val="20"/>
        </w:rPr>
        <w:t xml:space="preserve">idrashic collection known as </w:t>
      </w:r>
      <w:r w:rsidRPr="00E54204">
        <w:rPr>
          <w:i/>
          <w:szCs w:val="20"/>
        </w:rPr>
        <w:t>Pesiqta Rabbati</w:t>
      </w:r>
      <w:r w:rsidRPr="00E54204">
        <w:rPr>
          <w:szCs w:val="20"/>
        </w:rPr>
        <w:t xml:space="preserve">, appears to draw directly from 2 Baruch.  And lastly, the mystical tradition of early Judaism which produced the </w:t>
      </w:r>
      <w:r w:rsidR="00C37C97" w:rsidRPr="00E54204">
        <w:rPr>
          <w:i/>
          <w:szCs w:val="20"/>
        </w:rPr>
        <w:t>H</w:t>
      </w:r>
      <w:r w:rsidR="00707736" w:rsidRPr="00E54204">
        <w:rPr>
          <w:i/>
          <w:szCs w:val="20"/>
        </w:rPr>
        <w:t>ekhalot</w:t>
      </w:r>
      <w:r w:rsidR="00C36FD9" w:rsidRPr="00E54204">
        <w:rPr>
          <w:szCs w:val="20"/>
        </w:rPr>
        <w:t xml:space="preserve"> literature </w:t>
      </w:r>
      <w:r w:rsidRPr="00E54204">
        <w:rPr>
          <w:szCs w:val="20"/>
        </w:rPr>
        <w:t>has obvious connections with Jewish apocalypticism.</w:t>
      </w:r>
      <w:r w:rsidRPr="00E54204">
        <w:rPr>
          <w:szCs w:val="20"/>
          <w:vertAlign w:val="superscript"/>
        </w:rPr>
        <w:footnoteReference w:id="232"/>
      </w:r>
      <w:r w:rsidRPr="00E54204">
        <w:rPr>
          <w:szCs w:val="20"/>
        </w:rPr>
        <w:t xml:space="preserve">  Therefore, to suggest no connection between the two seems far-fetched, nevertheless, it is maintained by scholars that the two were fundamentally different in scope and purpose.</w:t>
      </w:r>
    </w:p>
    <w:p w14:paraId="7A4B9DCE" w14:textId="77777777" w:rsidR="00AA1903" w:rsidRPr="00E54204" w:rsidRDefault="00AA1903" w:rsidP="00AA1903">
      <w:pPr>
        <w:spacing w:after="160"/>
        <w:rPr>
          <w:szCs w:val="20"/>
        </w:rPr>
      </w:pPr>
      <w:r w:rsidRPr="00E54204">
        <w:rPr>
          <w:szCs w:val="20"/>
        </w:rPr>
        <w:tab/>
        <w:t xml:space="preserve">Both 3 Baruch and 4 Ezra </w:t>
      </w:r>
      <w:r w:rsidR="00C36FD9" w:rsidRPr="00E54204">
        <w:rPr>
          <w:szCs w:val="20"/>
        </w:rPr>
        <w:t>are dated</w:t>
      </w:r>
      <w:r w:rsidR="002C3216" w:rsidRPr="00E54204">
        <w:rPr>
          <w:szCs w:val="20"/>
        </w:rPr>
        <w:t xml:space="preserve"> to</w:t>
      </w:r>
      <w:r w:rsidR="00C36FD9" w:rsidRPr="00E54204">
        <w:rPr>
          <w:szCs w:val="20"/>
        </w:rPr>
        <w:t xml:space="preserve"> </w:t>
      </w:r>
      <w:r w:rsidRPr="00E54204">
        <w:rPr>
          <w:szCs w:val="20"/>
        </w:rPr>
        <w:t>sometime after the destruc</w:t>
      </w:r>
      <w:r w:rsidR="0052132B" w:rsidRPr="00E54204">
        <w:rPr>
          <w:szCs w:val="20"/>
        </w:rPr>
        <w:t>tion of the T</w:t>
      </w:r>
      <w:r w:rsidRPr="00E54204">
        <w:rPr>
          <w:szCs w:val="20"/>
        </w:rPr>
        <w:t>emple in 70 CE and both are believed to derive from the land of Israel.</w:t>
      </w:r>
      <w:r w:rsidRPr="00E54204">
        <w:rPr>
          <w:szCs w:val="20"/>
          <w:vertAlign w:val="superscript"/>
        </w:rPr>
        <w:footnoteReference w:id="233"/>
      </w:r>
      <w:r w:rsidRPr="00E54204">
        <w:rPr>
          <w:szCs w:val="20"/>
        </w:rPr>
        <w:t xml:space="preserve">  Scholars have suggested that these works represent a type of lamentation genre.  However, as Kirschner pointed out in his article, </w:t>
      </w:r>
      <w:r w:rsidRPr="00E54204">
        <w:rPr>
          <w:i/>
          <w:szCs w:val="20"/>
        </w:rPr>
        <w:t>Apocalyptic and Rabbinic Responses to the Destruction of 70,</w:t>
      </w:r>
      <w:r w:rsidRPr="00E54204">
        <w:rPr>
          <w:szCs w:val="20"/>
        </w:rPr>
        <w:t xml:space="preserve"> a more pronounced theme is national calamity.</w:t>
      </w:r>
      <w:r w:rsidRPr="00E54204">
        <w:rPr>
          <w:szCs w:val="20"/>
          <w:vertAlign w:val="superscript"/>
        </w:rPr>
        <w:footnoteReference w:id="234"/>
      </w:r>
      <w:r w:rsidRPr="00E54204">
        <w:rPr>
          <w:szCs w:val="20"/>
        </w:rPr>
        <w:t xml:space="preserve">  Through their writings, the rabbis assuage the suffering experienced in the tragic ev</w:t>
      </w:r>
      <w:r w:rsidR="0052132B" w:rsidRPr="00E54204">
        <w:rPr>
          <w:szCs w:val="20"/>
        </w:rPr>
        <w:t>ents of the destruction of the T</w:t>
      </w:r>
      <w:r w:rsidRPr="00E54204">
        <w:rPr>
          <w:szCs w:val="20"/>
        </w:rPr>
        <w:t>emple; they emphasized God’s enduring love and selection of the Jewish people.  This observation is echoed by Y.M. Grintz who wrote, “The nearness of God is the predominating idea of the Talmud and Midrash.  God mourns because of the evil decrees He has pronounced upon Israel; He goes into exile with his children; he…is overjoye</w:t>
      </w:r>
      <w:r w:rsidR="00EF69C7" w:rsidRPr="00E54204">
        <w:rPr>
          <w:szCs w:val="20"/>
        </w:rPr>
        <w:t xml:space="preserve">d if scholars triumph over him </w:t>
      </w:r>
      <w:r w:rsidR="00EF69C7" w:rsidRPr="00E54204">
        <w:rPr>
          <w:i/>
          <w:szCs w:val="20"/>
        </w:rPr>
        <w:t>Halac</w:t>
      </w:r>
      <w:r w:rsidRPr="00E54204">
        <w:rPr>
          <w:i/>
          <w:szCs w:val="20"/>
        </w:rPr>
        <w:t>ha</w:t>
      </w:r>
      <w:r w:rsidRPr="00E54204">
        <w:rPr>
          <w:szCs w:val="20"/>
        </w:rPr>
        <w:t>.”</w:t>
      </w:r>
      <w:r w:rsidRPr="00E54204">
        <w:rPr>
          <w:szCs w:val="20"/>
          <w:vertAlign w:val="superscript"/>
        </w:rPr>
        <w:footnoteReference w:id="235"/>
      </w:r>
      <w:r w:rsidRPr="00E54204">
        <w:rPr>
          <w:szCs w:val="20"/>
        </w:rPr>
        <w:t xml:space="preserve">  Thus, the rabbis conceived of God as empathizing with their pain and strife and not as having abandoned them.  </w:t>
      </w:r>
    </w:p>
    <w:p w14:paraId="41F1DA40" w14:textId="77777777" w:rsidR="00AA1903" w:rsidRPr="00E54204" w:rsidRDefault="00AA1903" w:rsidP="006B10B0">
      <w:pPr>
        <w:ind w:firstLine="720"/>
        <w:rPr>
          <w:szCs w:val="20"/>
        </w:rPr>
      </w:pPr>
      <w:r w:rsidRPr="00E54204">
        <w:rPr>
          <w:szCs w:val="20"/>
        </w:rPr>
        <w:t xml:space="preserve">This is where </w:t>
      </w:r>
      <w:r w:rsidRPr="00E54204">
        <w:rPr>
          <w:i/>
          <w:szCs w:val="20"/>
        </w:rPr>
        <w:t xml:space="preserve">Haggadah </w:t>
      </w:r>
      <w:r w:rsidRPr="00E54204">
        <w:rPr>
          <w:szCs w:val="20"/>
        </w:rPr>
        <w:t xml:space="preserve">becomes instrumental in portraying God as an inherent part of daily life.  As Ernest Trattner expressed it: “The problem was how to bring the reality of God closer to the warmth of the human heart…it was the ‘story’ based upon the Bible which supplied the need.  The sages kept God close to the people by folkloristic transformation through the medium of the </w:t>
      </w:r>
      <w:r w:rsidRPr="00E54204">
        <w:rPr>
          <w:i/>
          <w:szCs w:val="20"/>
        </w:rPr>
        <w:t>Haggadah</w:t>
      </w:r>
      <w:r w:rsidRPr="00E54204">
        <w:rPr>
          <w:szCs w:val="20"/>
        </w:rPr>
        <w:t>.”</w:t>
      </w:r>
      <w:r w:rsidRPr="00E54204">
        <w:rPr>
          <w:szCs w:val="20"/>
          <w:vertAlign w:val="superscript"/>
        </w:rPr>
        <w:footnoteReference w:id="236"/>
      </w:r>
      <w:r w:rsidRPr="00E54204">
        <w:rPr>
          <w:szCs w:val="20"/>
        </w:rPr>
        <w:t xml:space="preserve">  Despite the fact that the Temple lay in ruins and His people exiled, God had not abandoned His people and would one day bring a much needed redemption; so it was espoused by the rabbis.  </w:t>
      </w:r>
    </w:p>
    <w:p w14:paraId="764EB12C" w14:textId="77777777" w:rsidR="00AA1903" w:rsidRPr="00E54204" w:rsidRDefault="00AA1903" w:rsidP="00751C3E">
      <w:pPr>
        <w:rPr>
          <w:szCs w:val="20"/>
        </w:rPr>
      </w:pPr>
      <w:r w:rsidRPr="00E54204">
        <w:rPr>
          <w:szCs w:val="20"/>
        </w:rPr>
        <w:tab/>
        <w:t xml:space="preserve">The Greek text of 3 Baruch is preserved in </w:t>
      </w:r>
      <w:r w:rsidR="00AD0573" w:rsidRPr="00E54204">
        <w:rPr>
          <w:szCs w:val="20"/>
        </w:rPr>
        <w:t>Christian manuscripts.</w:t>
      </w:r>
      <w:r w:rsidRPr="00E54204">
        <w:rPr>
          <w:szCs w:val="20"/>
          <w:vertAlign w:val="superscript"/>
        </w:rPr>
        <w:footnoteReference w:id="237"/>
      </w:r>
      <w:r w:rsidRPr="00E54204">
        <w:rPr>
          <w:szCs w:val="20"/>
        </w:rPr>
        <w:t xml:space="preserve">  It contains several instances of heavenly voices speaking to Baruch, the amanuensis of the Biblical prophet Jeremiah.  The following passage depicts </w:t>
      </w:r>
      <w:r w:rsidR="00267570" w:rsidRPr="00E54204">
        <w:rPr>
          <w:szCs w:val="20"/>
        </w:rPr>
        <w:t>what happens when God speaks</w:t>
      </w:r>
      <w:r w:rsidRPr="00E54204">
        <w:rPr>
          <w:szCs w:val="20"/>
        </w:rPr>
        <w:t>:</w:t>
      </w:r>
    </w:p>
    <w:p w14:paraId="43EFE2B7" w14:textId="77777777" w:rsidR="00AA1903" w:rsidRPr="00E54204" w:rsidRDefault="00AD0573" w:rsidP="00751C3E">
      <w:pPr>
        <w:spacing w:after="160" w:line="240" w:lineRule="auto"/>
        <w:rPr>
          <w:szCs w:val="20"/>
        </w:rPr>
      </w:pPr>
      <w:r w:rsidRPr="00E54204">
        <w:rPr>
          <w:szCs w:val="20"/>
        </w:rPr>
        <w:t>And as H</w:t>
      </w:r>
      <w:r w:rsidR="00AA1903" w:rsidRPr="00E54204">
        <w:rPr>
          <w:szCs w:val="20"/>
        </w:rPr>
        <w:t>e</w:t>
      </w:r>
      <w:r w:rsidRPr="00E54204">
        <w:rPr>
          <w:szCs w:val="20"/>
        </w:rPr>
        <w:t xml:space="preserve"> [God]</w:t>
      </w:r>
      <w:r w:rsidR="00AA1903" w:rsidRPr="00E54204">
        <w:rPr>
          <w:szCs w:val="20"/>
        </w:rPr>
        <w:t xml:space="preserve"> was speaking, there was thunder—like a sound of thunder—and the place in which we stood was shaken.  And I asked the angel, ‘My lord, what is this voice?’  And my angel said, ‘Now the angels are opening the 365 gates of heaven, and light is being separated from darkness.’  And a voice came saying, ‘Light-giver, give splendor to the world!’ (6:13-14).</w:t>
      </w:r>
      <w:r w:rsidR="00AA1903" w:rsidRPr="00E54204">
        <w:rPr>
          <w:szCs w:val="20"/>
          <w:vertAlign w:val="superscript"/>
        </w:rPr>
        <w:footnoteReference w:id="238"/>
      </w:r>
      <w:r w:rsidR="00AA1903" w:rsidRPr="00E54204">
        <w:rPr>
          <w:szCs w:val="20"/>
        </w:rPr>
        <w:t xml:space="preserve"> </w:t>
      </w:r>
    </w:p>
    <w:p w14:paraId="64D95886" w14:textId="77777777" w:rsidR="00AA1903" w:rsidRPr="00E54204" w:rsidRDefault="00AA1903" w:rsidP="00751C3E">
      <w:pPr>
        <w:rPr>
          <w:szCs w:val="20"/>
        </w:rPr>
      </w:pPr>
      <w:r w:rsidRPr="00E54204">
        <w:rPr>
          <w:szCs w:val="20"/>
        </w:rPr>
        <w:tab/>
        <w:t xml:space="preserve">Later in the book, in what is known as the fifth-heaven scene, the dramatic imagery of mysterious heavenly voices resound during Baruch’s celestial tour: </w:t>
      </w:r>
    </w:p>
    <w:p w14:paraId="012608EA" w14:textId="77777777" w:rsidR="00AA1903" w:rsidRPr="00E54204" w:rsidRDefault="00AA1903" w:rsidP="00AA1903">
      <w:pPr>
        <w:spacing w:after="160" w:line="240" w:lineRule="auto"/>
        <w:rPr>
          <w:szCs w:val="20"/>
        </w:rPr>
      </w:pPr>
      <w:r w:rsidRPr="00E54204">
        <w:rPr>
          <w:szCs w:val="20"/>
        </w:rPr>
        <w:t>And there was a great voice like thunder.  And I said, ‘Lord what is this voice?’  And he said to me, ‘Now Michael is descending to receive the prayers of human beings.’  And behold, there was a voice, ‘Let the gates be opened!’  And they opened, and there was a shriek like thunder… (11:3-5).</w:t>
      </w:r>
      <w:r w:rsidRPr="00E54204">
        <w:rPr>
          <w:szCs w:val="20"/>
          <w:vertAlign w:val="superscript"/>
        </w:rPr>
        <w:footnoteReference w:id="239"/>
      </w:r>
      <w:r w:rsidRPr="00E54204">
        <w:rPr>
          <w:szCs w:val="20"/>
        </w:rPr>
        <w:t xml:space="preserve"> </w:t>
      </w:r>
    </w:p>
    <w:p w14:paraId="2B30B2A1" w14:textId="77777777" w:rsidR="00AA1903" w:rsidRPr="00E54204" w:rsidRDefault="00AA1903" w:rsidP="00AA1903">
      <w:pPr>
        <w:spacing w:after="160" w:line="240" w:lineRule="auto"/>
        <w:rPr>
          <w:szCs w:val="20"/>
        </w:rPr>
      </w:pPr>
      <w:r w:rsidRPr="00E54204">
        <w:rPr>
          <w:szCs w:val="20"/>
        </w:rPr>
        <w:t xml:space="preserve"> And at that time Michael departed, and the doors were closed.  And there was a voice like thunder.  And I asked the angel, ‘What is this voice?’  And he said to me, ‘Now Michael is offering the virtues of human beings to God’ (14:1-2).</w:t>
      </w:r>
      <w:r w:rsidRPr="00E54204">
        <w:rPr>
          <w:szCs w:val="20"/>
          <w:vertAlign w:val="superscript"/>
        </w:rPr>
        <w:footnoteReference w:id="240"/>
      </w:r>
      <w:r w:rsidRPr="00E54204">
        <w:rPr>
          <w:szCs w:val="20"/>
        </w:rPr>
        <w:t xml:space="preserve">   </w:t>
      </w:r>
    </w:p>
    <w:p w14:paraId="0641981E" w14:textId="77777777" w:rsidR="00AA1903" w:rsidRPr="00E54204" w:rsidRDefault="00267570" w:rsidP="004D6D82">
      <w:pPr>
        <w:spacing w:after="160"/>
        <w:ind w:firstLine="720"/>
        <w:rPr>
          <w:szCs w:val="20"/>
        </w:rPr>
      </w:pPr>
      <w:r w:rsidRPr="00E54204">
        <w:rPr>
          <w:szCs w:val="20"/>
        </w:rPr>
        <w:t xml:space="preserve">The </w:t>
      </w:r>
      <w:r w:rsidR="00AA1903" w:rsidRPr="00E54204">
        <w:rPr>
          <w:szCs w:val="20"/>
        </w:rPr>
        <w:t>references</w:t>
      </w:r>
      <w:r w:rsidRPr="00E54204">
        <w:rPr>
          <w:szCs w:val="20"/>
        </w:rPr>
        <w:t xml:space="preserve"> to a voice and thunder</w:t>
      </w:r>
      <w:r w:rsidR="00AA1903" w:rsidRPr="00E54204">
        <w:rPr>
          <w:szCs w:val="20"/>
        </w:rPr>
        <w:t xml:space="preserve"> are repeated in each of the above mentioned passages.  It is interesting to note that many Biblical texts employ descriptive phrases like “thunder”</w:t>
      </w:r>
      <w:r w:rsidR="00AA1903" w:rsidRPr="00E54204">
        <w:rPr>
          <w:szCs w:val="20"/>
          <w:vertAlign w:val="superscript"/>
        </w:rPr>
        <w:footnoteReference w:id="241"/>
      </w:r>
      <w:r w:rsidR="00AA1903" w:rsidRPr="00E54204">
        <w:rPr>
          <w:szCs w:val="20"/>
        </w:rPr>
        <w:t xml:space="preserve"> or “many waters” when using the Hebrew </w:t>
      </w:r>
      <w:r w:rsidR="00AA1903" w:rsidRPr="00E54204">
        <w:rPr>
          <w:i/>
          <w:szCs w:val="20"/>
        </w:rPr>
        <w:t>kol;</w:t>
      </w:r>
      <w:r w:rsidR="00AA1903" w:rsidRPr="00E54204">
        <w:rPr>
          <w:szCs w:val="20"/>
          <w:vertAlign w:val="superscript"/>
        </w:rPr>
        <w:footnoteReference w:id="242"/>
      </w:r>
      <w:r w:rsidR="00AA1903" w:rsidRPr="00E54204">
        <w:rPr>
          <w:i/>
          <w:szCs w:val="20"/>
        </w:rPr>
        <w:t xml:space="preserve"> </w:t>
      </w:r>
      <w:r w:rsidR="00AA1903" w:rsidRPr="00E54204">
        <w:rPr>
          <w:szCs w:val="20"/>
        </w:rPr>
        <w:t>this may signal from where the language is derived.  Perhaps the noise (thunder) heard by Baruch included some intelligible communication as it prompts him, in every passage, to inquire concerning its purposes.  Each incident of thund</w:t>
      </w:r>
      <w:r w:rsidR="00FE74E0" w:rsidRPr="00E54204">
        <w:rPr>
          <w:szCs w:val="20"/>
        </w:rPr>
        <w:t xml:space="preserve">er and or </w:t>
      </w:r>
      <w:r w:rsidR="00AF4E68" w:rsidRPr="00E54204">
        <w:rPr>
          <w:szCs w:val="20"/>
        </w:rPr>
        <w:t xml:space="preserve">noise </w:t>
      </w:r>
      <w:r w:rsidR="00FE74E0" w:rsidRPr="00E54204">
        <w:rPr>
          <w:szCs w:val="20"/>
        </w:rPr>
        <w:t>precede</w:t>
      </w:r>
      <w:r w:rsidR="000F2B46" w:rsidRPr="00E54204">
        <w:rPr>
          <w:szCs w:val="20"/>
        </w:rPr>
        <w:t>s</w:t>
      </w:r>
      <w:r w:rsidR="00AF4E68" w:rsidRPr="00E54204">
        <w:rPr>
          <w:szCs w:val="20"/>
        </w:rPr>
        <w:t xml:space="preserve"> an event</w:t>
      </w:r>
      <w:r w:rsidR="00AA1903" w:rsidRPr="00E54204">
        <w:rPr>
          <w:szCs w:val="20"/>
        </w:rPr>
        <w:t>.  The identity of the speaker here again is anonymous; the speaker could potentially be God or an angel.  Still, as Daniel Harlow noted, these enigmatic voices heighten the anticipation of a visible manifestation of God’s glory.</w:t>
      </w:r>
      <w:r w:rsidR="00AA1903" w:rsidRPr="00E54204">
        <w:rPr>
          <w:szCs w:val="20"/>
          <w:vertAlign w:val="superscript"/>
        </w:rPr>
        <w:footnoteReference w:id="243"/>
      </w:r>
      <w:r w:rsidR="00AA1903" w:rsidRPr="00E54204">
        <w:rPr>
          <w:szCs w:val="20"/>
        </w:rPr>
        <w:t xml:space="preserve">  </w:t>
      </w:r>
    </w:p>
    <w:p w14:paraId="1D757CC6" w14:textId="77777777" w:rsidR="00AA1903" w:rsidRPr="00E54204" w:rsidRDefault="00982510" w:rsidP="00982510">
      <w:pPr>
        <w:spacing w:after="160"/>
        <w:ind w:firstLine="720"/>
        <w:rPr>
          <w:szCs w:val="20"/>
        </w:rPr>
      </w:pPr>
      <w:r w:rsidRPr="00E54204">
        <w:rPr>
          <w:szCs w:val="20"/>
        </w:rPr>
        <w:t>T</w:t>
      </w:r>
      <w:r w:rsidR="00AA1903" w:rsidRPr="00E54204">
        <w:rPr>
          <w:szCs w:val="20"/>
        </w:rPr>
        <w:t xml:space="preserve">he </w:t>
      </w:r>
      <w:r w:rsidRPr="00E54204">
        <w:rPr>
          <w:i/>
          <w:szCs w:val="20"/>
        </w:rPr>
        <w:t xml:space="preserve">Apocalypse of Abraham </w:t>
      </w:r>
      <w:r w:rsidRPr="00E54204">
        <w:rPr>
          <w:szCs w:val="20"/>
        </w:rPr>
        <w:t>is another apocalyptic work of the Second Temple period.</w:t>
      </w:r>
      <w:r w:rsidR="00AA1903" w:rsidRPr="00E54204">
        <w:rPr>
          <w:szCs w:val="20"/>
          <w:vertAlign w:val="superscript"/>
        </w:rPr>
        <w:footnoteReference w:id="244"/>
      </w:r>
      <w:r w:rsidRPr="00E54204">
        <w:rPr>
          <w:szCs w:val="20"/>
        </w:rPr>
        <w:t xml:space="preserve">  This work</w:t>
      </w:r>
      <w:r w:rsidR="00AA1903" w:rsidRPr="00E54204">
        <w:rPr>
          <w:szCs w:val="20"/>
        </w:rPr>
        <w:t xml:space="preserve"> addresses the evils of idolatry, and also makes u</w:t>
      </w:r>
      <w:r w:rsidRPr="00E54204">
        <w:rPr>
          <w:szCs w:val="20"/>
        </w:rPr>
        <w:t xml:space="preserve">se of heavenly voices.  </w:t>
      </w:r>
      <w:r w:rsidR="00AA1903" w:rsidRPr="00E54204">
        <w:rPr>
          <w:szCs w:val="20"/>
        </w:rPr>
        <w:t>God is introduced in the story as calling out to Abraham via a voice that issued down from heaven in the semblance of a stream of fire (8:1-2).</w:t>
      </w:r>
      <w:r w:rsidR="00AA1903" w:rsidRPr="00E54204">
        <w:rPr>
          <w:szCs w:val="20"/>
          <w:vertAlign w:val="superscript"/>
        </w:rPr>
        <w:footnoteReference w:id="245"/>
      </w:r>
      <w:r w:rsidR="00AA1903" w:rsidRPr="00E54204">
        <w:rPr>
          <w:szCs w:val="20"/>
        </w:rPr>
        <w:t xml:space="preserve">  Further in the work, Abraham describes the voice of God coming to him out of the midst of fire; “a voice of many waters, like the sea in its uproar.” (17:1)</w:t>
      </w:r>
      <w:r w:rsidR="00AA1903" w:rsidRPr="00E54204">
        <w:rPr>
          <w:szCs w:val="20"/>
          <w:vertAlign w:val="superscript"/>
        </w:rPr>
        <w:footnoteReference w:id="246"/>
      </w:r>
      <w:r w:rsidR="00AA1903" w:rsidRPr="00E54204">
        <w:rPr>
          <w:szCs w:val="20"/>
        </w:rPr>
        <w:t xml:space="preserve">  In the Bible we also find examples of the voice of God as part and parcel of intense manifestations of His presence.</w:t>
      </w:r>
      <w:r w:rsidR="00AA1903" w:rsidRPr="00E54204">
        <w:rPr>
          <w:szCs w:val="20"/>
          <w:vertAlign w:val="superscript"/>
        </w:rPr>
        <w:footnoteReference w:id="247"/>
      </w:r>
      <w:r w:rsidR="00AA1903" w:rsidRPr="00E54204">
        <w:rPr>
          <w:szCs w:val="20"/>
        </w:rPr>
        <w:t xml:space="preserve">  </w:t>
      </w:r>
    </w:p>
    <w:p w14:paraId="3F4066CC" w14:textId="77777777" w:rsidR="00AA1903" w:rsidRPr="00E54204" w:rsidRDefault="00AA1903" w:rsidP="004D6D82">
      <w:pPr>
        <w:spacing w:after="160"/>
        <w:ind w:firstLine="720"/>
        <w:rPr>
          <w:szCs w:val="20"/>
        </w:rPr>
      </w:pPr>
      <w:r w:rsidRPr="00E54204">
        <w:rPr>
          <w:szCs w:val="20"/>
        </w:rPr>
        <w:t xml:space="preserve">In comparing the heavenly voices in 3 </w:t>
      </w:r>
      <w:r w:rsidRPr="00E54204">
        <w:rPr>
          <w:i/>
          <w:szCs w:val="20"/>
        </w:rPr>
        <w:t>Baruch</w:t>
      </w:r>
      <w:r w:rsidRPr="00E54204">
        <w:rPr>
          <w:szCs w:val="20"/>
        </w:rPr>
        <w:t xml:space="preserve"> and the </w:t>
      </w:r>
      <w:r w:rsidRPr="00E54204">
        <w:rPr>
          <w:i/>
          <w:szCs w:val="20"/>
        </w:rPr>
        <w:t>Apocalypse of Abraham</w:t>
      </w:r>
      <w:r w:rsidR="00267570" w:rsidRPr="00E54204">
        <w:rPr>
          <w:szCs w:val="20"/>
        </w:rPr>
        <w:t>, Daniel Harlow writes, “I</w:t>
      </w:r>
      <w:r w:rsidRPr="00E54204">
        <w:rPr>
          <w:szCs w:val="20"/>
        </w:rPr>
        <w:t>n one, the divine ‘voice’ that opens the heavens grants a theophany; in the other, the ‘voice’ that opens the gates of heaven remai</w:t>
      </w:r>
      <w:r w:rsidR="00083E2C" w:rsidRPr="00E54204">
        <w:rPr>
          <w:szCs w:val="20"/>
        </w:rPr>
        <w:t>ns hidden.”  Abraham is given</w:t>
      </w:r>
      <w:r w:rsidRPr="00E54204">
        <w:rPr>
          <w:szCs w:val="20"/>
        </w:rPr>
        <w:t xml:space="preserve"> a theophan</w:t>
      </w:r>
      <w:r w:rsidR="00083E2C" w:rsidRPr="00E54204">
        <w:rPr>
          <w:szCs w:val="20"/>
        </w:rPr>
        <w:t>y of sorts through</w:t>
      </w:r>
      <w:r w:rsidRPr="00E54204">
        <w:rPr>
          <w:szCs w:val="20"/>
        </w:rPr>
        <w:t xml:space="preserve"> a potent and resonating voice, while in 3 </w:t>
      </w:r>
      <w:r w:rsidRPr="00E54204">
        <w:rPr>
          <w:i/>
          <w:szCs w:val="20"/>
        </w:rPr>
        <w:t>Baruch</w:t>
      </w:r>
      <w:r w:rsidRPr="00E54204">
        <w:rPr>
          <w:szCs w:val="20"/>
        </w:rPr>
        <w:t xml:space="preserve"> the voice harps anonymously; marking the onslaught of various events i</w:t>
      </w:r>
      <w:r w:rsidR="00083E2C" w:rsidRPr="00E54204">
        <w:rPr>
          <w:szCs w:val="20"/>
        </w:rPr>
        <w:t>n the heavenly terrain</w:t>
      </w:r>
      <w:r w:rsidRPr="00E54204">
        <w:rPr>
          <w:szCs w:val="20"/>
        </w:rPr>
        <w:t>.</w:t>
      </w:r>
    </w:p>
    <w:p w14:paraId="24B47E69" w14:textId="77777777" w:rsidR="00AA1903" w:rsidRPr="00E54204" w:rsidRDefault="00AA1903" w:rsidP="004D6D82">
      <w:pPr>
        <w:spacing w:after="160"/>
        <w:ind w:firstLine="720"/>
        <w:rPr>
          <w:szCs w:val="20"/>
        </w:rPr>
      </w:pPr>
      <w:r w:rsidRPr="00E54204">
        <w:rPr>
          <w:szCs w:val="20"/>
        </w:rPr>
        <w:t>4 Ezra (i.e. 2 Esdras: 3-14) is another important apocalyptic work considered by scholars to be from around the late-first century CE.</w:t>
      </w:r>
      <w:r w:rsidRPr="00E54204">
        <w:rPr>
          <w:szCs w:val="20"/>
          <w:vertAlign w:val="superscript"/>
        </w:rPr>
        <w:footnoteReference w:id="248"/>
      </w:r>
      <w:r w:rsidRPr="00E54204">
        <w:rPr>
          <w:szCs w:val="20"/>
        </w:rPr>
        <w:t xml:space="preserve">  This work exhibits one of the classic characteristics of an apocalyptic text; namely the disclosing of the secre</w:t>
      </w:r>
      <w:r w:rsidR="00AA5816" w:rsidRPr="00E54204">
        <w:rPr>
          <w:szCs w:val="20"/>
        </w:rPr>
        <w:t>ts of the eschaton</w:t>
      </w:r>
      <w:r w:rsidRPr="00E54204">
        <w:rPr>
          <w:szCs w:val="20"/>
        </w:rPr>
        <w:t xml:space="preserve"> when the Messiah will destroy evildoers, to Ezra.</w:t>
      </w:r>
      <w:r w:rsidRPr="00E54204">
        <w:rPr>
          <w:szCs w:val="20"/>
          <w:vertAlign w:val="superscript"/>
        </w:rPr>
        <w:footnoteReference w:id="249"/>
      </w:r>
      <w:r w:rsidRPr="00E54204">
        <w:rPr>
          <w:szCs w:val="20"/>
        </w:rPr>
        <w:t xml:space="preserve">  Accordingly, it is God’s judgment and not His mercy which predominates in this work.</w:t>
      </w:r>
      <w:r w:rsidRPr="00E54204">
        <w:rPr>
          <w:szCs w:val="20"/>
          <w:vertAlign w:val="superscript"/>
        </w:rPr>
        <w:footnoteReference w:id="250"/>
      </w:r>
      <w:r w:rsidRPr="00E54204">
        <w:rPr>
          <w:szCs w:val="20"/>
        </w:rPr>
        <w:t xml:space="preserve">  At one point, Ezra seeks to understand the calamity that has befallen his people (i.e. the destruction of the Temple in Jerusalem);</w:t>
      </w:r>
      <w:r w:rsidRPr="00E54204">
        <w:rPr>
          <w:szCs w:val="20"/>
          <w:vertAlign w:val="superscript"/>
        </w:rPr>
        <w:footnoteReference w:id="251"/>
      </w:r>
      <w:r w:rsidRPr="00E54204">
        <w:rPr>
          <w:szCs w:val="20"/>
        </w:rPr>
        <w:t xml:space="preserve"> he is met with questions too lofty for his understanding, in turn pointing to his own ignorance and short-sightedness.</w:t>
      </w:r>
      <w:r w:rsidRPr="00E54204">
        <w:rPr>
          <w:szCs w:val="20"/>
          <w:vertAlign w:val="superscript"/>
        </w:rPr>
        <w:footnoteReference w:id="252"/>
      </w:r>
      <w:r w:rsidRPr="00E54204">
        <w:rPr>
          <w:szCs w:val="20"/>
        </w:rPr>
        <w:t xml:space="preserve">  John Collins has observed that both 4 Ezra and 2 Baruch</w:t>
      </w:r>
      <w:r w:rsidRPr="00E54204">
        <w:rPr>
          <w:szCs w:val="20"/>
          <w:vertAlign w:val="superscript"/>
        </w:rPr>
        <w:footnoteReference w:id="253"/>
      </w:r>
      <w:r w:rsidRPr="00E54204">
        <w:rPr>
          <w:szCs w:val="20"/>
        </w:rPr>
        <w:t xml:space="preserve"> draw heavily from theological traditions that are close to rabbinic Judaism, in that both devote little attention to the heavenly world, they are averse to calculations of the end of time, they bear the influence of historical events, and they are flexible in incorporating diverse theological views.</w:t>
      </w:r>
      <w:r w:rsidRPr="00E54204">
        <w:rPr>
          <w:szCs w:val="20"/>
          <w:vertAlign w:val="superscript"/>
        </w:rPr>
        <w:footnoteReference w:id="254"/>
      </w:r>
      <w:r w:rsidR="00083E2C" w:rsidRPr="00E54204">
        <w:rPr>
          <w:szCs w:val="20"/>
        </w:rPr>
        <w:t xml:space="preserve">  Such traditions or </w:t>
      </w:r>
      <w:r w:rsidRPr="00E54204">
        <w:rPr>
          <w:szCs w:val="20"/>
        </w:rPr>
        <w:t>themes</w:t>
      </w:r>
      <w:r w:rsidR="00083E2C" w:rsidRPr="00E54204">
        <w:rPr>
          <w:szCs w:val="20"/>
        </w:rPr>
        <w:t xml:space="preserve"> found their way both into apocalyptic and rabbinic writings</w:t>
      </w:r>
      <w:r w:rsidRPr="00E54204">
        <w:rPr>
          <w:szCs w:val="20"/>
        </w:rPr>
        <w:t>.  The rabbis could have potentially drawn imagery and motifs from apocalyptic sources that would have spoken to them and or their audience.</w:t>
      </w:r>
    </w:p>
    <w:p w14:paraId="3B62394B" w14:textId="77777777" w:rsidR="00AA1903" w:rsidRPr="00E54204" w:rsidRDefault="00AA1903" w:rsidP="00AA1903">
      <w:pPr>
        <w:spacing w:after="160"/>
        <w:ind w:firstLine="720"/>
        <w:rPr>
          <w:szCs w:val="20"/>
        </w:rPr>
      </w:pPr>
      <w:r w:rsidRPr="00E54204">
        <w:rPr>
          <w:szCs w:val="20"/>
        </w:rPr>
        <w:t xml:space="preserve">Here again (as in the </w:t>
      </w:r>
      <w:r w:rsidRPr="00E54204">
        <w:rPr>
          <w:i/>
          <w:szCs w:val="20"/>
        </w:rPr>
        <w:t>Apocalypse of Abraham</w:t>
      </w:r>
      <w:r w:rsidRPr="00E54204">
        <w:rPr>
          <w:szCs w:val="20"/>
        </w:rPr>
        <w:t>), the description of God’s voice as “the sound of many waters” is employed; a phrase found in both Ezekiel and the book of Revelation.</w:t>
      </w:r>
      <w:r w:rsidRPr="00E54204">
        <w:rPr>
          <w:szCs w:val="20"/>
          <w:vertAlign w:val="superscript"/>
        </w:rPr>
        <w:footnoteReference w:id="255"/>
      </w:r>
      <w:r w:rsidRPr="00E54204">
        <w:rPr>
          <w:szCs w:val="20"/>
        </w:rPr>
        <w:t xml:space="preserve">  Similarly, in chapter thirteen</w:t>
      </w:r>
      <w:r w:rsidR="00AA5816" w:rsidRPr="00E54204">
        <w:rPr>
          <w:szCs w:val="20"/>
        </w:rPr>
        <w:t xml:space="preserve"> of 4</w:t>
      </w:r>
      <w:r w:rsidRPr="00E54204">
        <w:rPr>
          <w:szCs w:val="20"/>
        </w:rPr>
        <w:t xml:space="preserve"> Ezra</w:t>
      </w:r>
      <w:r w:rsidR="00AA5816" w:rsidRPr="00E54204">
        <w:rPr>
          <w:szCs w:val="20"/>
        </w:rPr>
        <w:t>, Ezra</w:t>
      </w:r>
      <w:r w:rsidRPr="00E54204">
        <w:rPr>
          <w:szCs w:val="20"/>
        </w:rPr>
        <w:t xml:space="preserve"> sees a man emerge from the sea flying with the clouds.  Wherever the sound of his voice reaches, everything melts like hot wax,</w:t>
      </w:r>
      <w:r w:rsidRPr="00E54204">
        <w:rPr>
          <w:szCs w:val="20"/>
          <w:vertAlign w:val="superscript"/>
        </w:rPr>
        <w:footnoteReference w:id="256"/>
      </w:r>
      <w:r w:rsidRPr="00E54204">
        <w:rPr>
          <w:szCs w:val="20"/>
        </w:rPr>
        <w:t xml:space="preserve"> and when multitudes come to war against him he defeats them all with a torrent of fire that proceeds from this mouth.</w:t>
      </w:r>
      <w:r w:rsidRPr="00E54204">
        <w:rPr>
          <w:szCs w:val="20"/>
          <w:vertAlign w:val="superscript"/>
        </w:rPr>
        <w:footnoteReference w:id="257"/>
      </w:r>
      <w:r w:rsidRPr="00E54204">
        <w:rPr>
          <w:szCs w:val="20"/>
        </w:rPr>
        <w:t xml:space="preserve">  Also reminiscent of </w:t>
      </w:r>
      <w:r w:rsidRPr="00E54204">
        <w:rPr>
          <w:i/>
          <w:szCs w:val="20"/>
        </w:rPr>
        <w:t>Apocalypse of Abraham</w:t>
      </w:r>
      <w:r w:rsidRPr="00E54204">
        <w:rPr>
          <w:szCs w:val="20"/>
        </w:rPr>
        <w:t xml:space="preserve"> is the imagery of </w:t>
      </w:r>
      <w:r w:rsidR="00D14B32" w:rsidRPr="00E54204">
        <w:rPr>
          <w:szCs w:val="20"/>
        </w:rPr>
        <w:t xml:space="preserve">a stream of fire; in which </w:t>
      </w:r>
      <w:r w:rsidRPr="00E54204">
        <w:rPr>
          <w:szCs w:val="20"/>
        </w:rPr>
        <w:t>God was the</w:t>
      </w:r>
      <w:r w:rsidR="00D14B32" w:rsidRPr="00E54204">
        <w:rPr>
          <w:szCs w:val="20"/>
        </w:rPr>
        <w:t xml:space="preserve"> speaker while in 4 Ezra it was a</w:t>
      </w:r>
      <w:r w:rsidRPr="00E54204">
        <w:rPr>
          <w:szCs w:val="20"/>
        </w:rPr>
        <w:t xml:space="preserve"> mysterious (Messianic?) individual with the appearance of a human.</w:t>
      </w:r>
      <w:r w:rsidR="00D14B32" w:rsidRPr="00E54204">
        <w:rPr>
          <w:szCs w:val="20"/>
        </w:rPr>
        <w:t xml:space="preserve">  Other references to</w:t>
      </w:r>
      <w:r w:rsidRPr="00E54204">
        <w:rPr>
          <w:szCs w:val="20"/>
        </w:rPr>
        <w:t xml:space="preserve"> of heavenly voices are found in chapter eleven where a heavenly voice</w:t>
      </w:r>
      <w:r w:rsidR="00473BC4" w:rsidRPr="00E54204">
        <w:rPr>
          <w:szCs w:val="20"/>
        </w:rPr>
        <w:t xml:space="preserve"> twice makes a parenthesis</w:t>
      </w:r>
      <w:r w:rsidRPr="00E54204">
        <w:rPr>
          <w:szCs w:val="20"/>
        </w:rPr>
        <w:t xml:space="preserve"> to Ezra’s vision.</w:t>
      </w:r>
      <w:r w:rsidRPr="00E54204">
        <w:rPr>
          <w:szCs w:val="20"/>
          <w:vertAlign w:val="superscript"/>
        </w:rPr>
        <w:footnoteReference w:id="258"/>
      </w:r>
      <w:r w:rsidRPr="00E54204">
        <w:rPr>
          <w:szCs w:val="20"/>
        </w:rPr>
        <w:t xml:space="preserve">  Another passage that contains these voices occurs in chapter fourteen where twice Ezra is abruptly called by God.</w:t>
      </w:r>
      <w:r w:rsidRPr="00E54204">
        <w:rPr>
          <w:szCs w:val="20"/>
          <w:vertAlign w:val="superscript"/>
        </w:rPr>
        <w:footnoteReference w:id="259"/>
      </w:r>
      <w:r w:rsidRPr="00E54204">
        <w:rPr>
          <w:szCs w:val="20"/>
        </w:rPr>
        <w:t xml:space="preserve">  The text reads that Ezra was called from a bush.  It seems that the story of Moses’ calling is purposely invoked, and in doing so grants Ezra the status of “second Moses” of sorts who is called to restore the Scriptures.</w:t>
      </w:r>
      <w:r w:rsidRPr="00E54204">
        <w:rPr>
          <w:szCs w:val="20"/>
          <w:vertAlign w:val="superscript"/>
        </w:rPr>
        <w:footnoteReference w:id="260"/>
      </w:r>
      <w:r w:rsidRPr="00E54204">
        <w:rPr>
          <w:szCs w:val="20"/>
        </w:rPr>
        <w:t xml:space="preserve"> </w:t>
      </w:r>
    </w:p>
    <w:p w14:paraId="423CC019" w14:textId="77777777" w:rsidR="00AA1903" w:rsidRPr="00E54204" w:rsidRDefault="00AA1903" w:rsidP="00AA1903">
      <w:pPr>
        <w:spacing w:after="160"/>
        <w:ind w:firstLine="720"/>
        <w:rPr>
          <w:szCs w:val="20"/>
        </w:rPr>
      </w:pPr>
      <w:r w:rsidRPr="00E54204">
        <w:rPr>
          <w:szCs w:val="20"/>
        </w:rPr>
        <w:t>Therefore, a survey of a few apocalyptic works</w:t>
      </w:r>
      <w:r w:rsidRPr="00E54204">
        <w:rPr>
          <w:szCs w:val="20"/>
          <w:vertAlign w:val="superscript"/>
        </w:rPr>
        <w:footnoteReference w:id="261"/>
      </w:r>
      <w:r w:rsidRPr="00E54204">
        <w:rPr>
          <w:szCs w:val="20"/>
        </w:rPr>
        <w:t xml:space="preserve"> </w:t>
      </w:r>
      <w:r w:rsidR="00473BC4" w:rsidRPr="00E54204">
        <w:rPr>
          <w:szCs w:val="20"/>
        </w:rPr>
        <w:t>begins to shed light on the themes</w:t>
      </w:r>
      <w:r w:rsidRPr="00E54204">
        <w:rPr>
          <w:szCs w:val="20"/>
        </w:rPr>
        <w:t xml:space="preserve"> and structure of these mystical texts; ascent to the heavenly sphere entails encounters with supernal sights and sounds which the apocalyptist recounts.  Sometimes God remains hidden in these stories, only intimated by the sound of a voice, while on other occasions His presence is more explicit and spectacular conferring upon the visitor a sublime and terrifying vision.  Heavenly voices are</w:t>
      </w:r>
      <w:r w:rsidR="001E32DF" w:rsidRPr="00E54204">
        <w:rPr>
          <w:szCs w:val="20"/>
        </w:rPr>
        <w:t xml:space="preserve"> a</w:t>
      </w:r>
      <w:r w:rsidRPr="00E54204">
        <w:rPr>
          <w:szCs w:val="20"/>
        </w:rPr>
        <w:t xml:space="preserve"> present and important theme in the apocalyptic genre.  </w:t>
      </w:r>
    </w:p>
    <w:p w14:paraId="2FA24E5C" w14:textId="77777777" w:rsidR="00AA1903" w:rsidRPr="00E54204" w:rsidRDefault="00AA1903" w:rsidP="00AA1903">
      <w:pPr>
        <w:spacing w:after="160"/>
        <w:ind w:firstLine="720"/>
        <w:rPr>
          <w:szCs w:val="20"/>
        </w:rPr>
      </w:pPr>
      <w:r w:rsidRPr="00E54204">
        <w:rPr>
          <w:szCs w:val="20"/>
        </w:rPr>
        <w:t>David Aune has noted that most scholars consider apocalyptic literature to actually be an</w:t>
      </w:r>
      <w:r w:rsidR="001E32DF" w:rsidRPr="00E54204">
        <w:rPr>
          <w:szCs w:val="20"/>
        </w:rPr>
        <w:t xml:space="preserve"> offspring of Biblical prophecy.</w:t>
      </w:r>
      <w:r w:rsidRPr="00E54204">
        <w:rPr>
          <w:szCs w:val="20"/>
          <w:vertAlign w:val="superscript"/>
        </w:rPr>
        <w:footnoteReference w:id="262"/>
      </w:r>
      <w:r w:rsidR="001E32DF" w:rsidRPr="00E54204">
        <w:rPr>
          <w:szCs w:val="20"/>
        </w:rPr>
        <w:t xml:space="preserve">  H</w:t>
      </w:r>
      <w:r w:rsidRPr="00E54204">
        <w:rPr>
          <w:szCs w:val="20"/>
        </w:rPr>
        <w:t xml:space="preserve">e upholds this view while maintaining that it was only one of </w:t>
      </w:r>
      <w:r w:rsidRPr="00E54204">
        <w:rPr>
          <w:i/>
          <w:szCs w:val="20"/>
        </w:rPr>
        <w:t>several</w:t>
      </w:r>
      <w:r w:rsidRPr="00E54204">
        <w:rPr>
          <w:szCs w:val="20"/>
        </w:rPr>
        <w:t xml:space="preserve"> offspring of the Second Temple period.  A distinguishing feature between the two genres was the formulaic introductions of the speaker.  In Biblical prophecy, the prophet often introduced his oracle with a phrase akin to, “Thus says the LORD…” placing the weight of the message squarely on the divine.  In apocalyptic literature the emphasis is placed upon the seer who testifies to the visions and messages that he or she has witnessed.</w:t>
      </w:r>
      <w:r w:rsidRPr="00E54204">
        <w:rPr>
          <w:szCs w:val="20"/>
          <w:vertAlign w:val="superscript"/>
        </w:rPr>
        <w:footnoteReference w:id="263"/>
      </w:r>
      <w:r w:rsidRPr="00E54204">
        <w:rPr>
          <w:szCs w:val="20"/>
        </w:rPr>
        <w:t xml:space="preserve">  Indeed, heavenly voices seem more appropriate to the visionary journeys rather than classical prophecy, as the voices serve to corroborate what is transpiring before the apocalyptist.   </w:t>
      </w:r>
    </w:p>
    <w:p w14:paraId="00A4D9A5" w14:textId="77777777" w:rsidR="00AA1903" w:rsidRPr="00E54204" w:rsidRDefault="00AA1903" w:rsidP="00AA1903">
      <w:pPr>
        <w:spacing w:after="160"/>
        <w:ind w:firstLine="720"/>
        <w:rPr>
          <w:szCs w:val="20"/>
        </w:rPr>
      </w:pPr>
      <w:r w:rsidRPr="00E54204">
        <w:rPr>
          <w:szCs w:val="20"/>
        </w:rPr>
        <w:t>Furthermore,</w:t>
      </w:r>
      <w:r w:rsidR="00473BC4" w:rsidRPr="00E54204">
        <w:rPr>
          <w:szCs w:val="20"/>
        </w:rPr>
        <w:t xml:space="preserve"> in my estimation, types</w:t>
      </w:r>
      <w:r w:rsidRPr="00E54204">
        <w:rPr>
          <w:szCs w:val="20"/>
        </w:rPr>
        <w:t xml:space="preserve"> of oracles, found both in Biblical prophecy</w:t>
      </w:r>
      <w:r w:rsidR="00473BC4" w:rsidRPr="00E54204">
        <w:rPr>
          <w:szCs w:val="20"/>
        </w:rPr>
        <w:t xml:space="preserve"> and apocalyptic writings </w:t>
      </w:r>
      <w:r w:rsidRPr="00E54204">
        <w:rPr>
          <w:szCs w:val="20"/>
        </w:rPr>
        <w:t xml:space="preserve">find analogous examples in the </w:t>
      </w:r>
      <w:r w:rsidRPr="00E54204">
        <w:rPr>
          <w:i/>
          <w:szCs w:val="20"/>
        </w:rPr>
        <w:t>bat kol</w:t>
      </w:r>
      <w:r w:rsidRPr="00E54204">
        <w:rPr>
          <w:szCs w:val="20"/>
        </w:rPr>
        <w:t xml:space="preserve"> of the rabbis.  One example is the “woe oracle.”  There are two overarching components to this type of oracle.  One is the charge in which the misdeeds of the individual or pe</w:t>
      </w:r>
      <w:r w:rsidR="00EF157C" w:rsidRPr="00E54204">
        <w:rPr>
          <w:szCs w:val="20"/>
        </w:rPr>
        <w:t>ople are addressed.</w:t>
      </w:r>
      <w:r w:rsidR="005515C3" w:rsidRPr="00E54204">
        <w:rPr>
          <w:szCs w:val="20"/>
        </w:rPr>
        <w:t xml:space="preserve">  S</w:t>
      </w:r>
      <w:r w:rsidR="00EF157C" w:rsidRPr="00E54204">
        <w:rPr>
          <w:szCs w:val="20"/>
        </w:rPr>
        <w:t>econd</w:t>
      </w:r>
      <w:r w:rsidRPr="00E54204">
        <w:rPr>
          <w:szCs w:val="20"/>
        </w:rPr>
        <w:t xml:space="preserve"> is the pronoun</w:t>
      </w:r>
      <w:r w:rsidR="00473BC4" w:rsidRPr="00E54204">
        <w:rPr>
          <w:szCs w:val="20"/>
        </w:rPr>
        <w:t>cement of the fate of the person</w:t>
      </w:r>
      <w:r w:rsidRPr="00E54204">
        <w:rPr>
          <w:szCs w:val="20"/>
        </w:rPr>
        <w:t xml:space="preserve"> being addressed (e.g. exile, death, </w:t>
      </w:r>
      <w:r w:rsidR="00554181" w:rsidRPr="00E54204">
        <w:rPr>
          <w:szCs w:val="20"/>
        </w:rPr>
        <w:t>etc.</w:t>
      </w:r>
      <w:r w:rsidR="005515C3" w:rsidRPr="00E54204">
        <w:rPr>
          <w:szCs w:val="20"/>
        </w:rPr>
        <w:t xml:space="preserve">).  </w:t>
      </w:r>
      <w:r w:rsidR="002D6933" w:rsidRPr="00E54204">
        <w:rPr>
          <w:szCs w:val="20"/>
        </w:rPr>
        <w:t xml:space="preserve">The stories of King </w:t>
      </w:r>
      <w:r w:rsidR="005515C3" w:rsidRPr="00E54204">
        <w:rPr>
          <w:szCs w:val="20"/>
        </w:rPr>
        <w:t xml:space="preserve">Nebuchadnezzar’s judgment overviewed in this chapter fit with this type of oracle.  </w:t>
      </w:r>
      <w:r w:rsidRPr="00E54204">
        <w:rPr>
          <w:szCs w:val="20"/>
        </w:rPr>
        <w:t xml:space="preserve">Conversely, there are what Aune labels the </w:t>
      </w:r>
      <w:r w:rsidR="00202387" w:rsidRPr="00E54204">
        <w:rPr>
          <w:szCs w:val="20"/>
        </w:rPr>
        <w:t>“oracles of Assurance”</w:t>
      </w:r>
      <w:r w:rsidR="00985ABF" w:rsidRPr="00E54204">
        <w:rPr>
          <w:szCs w:val="20"/>
        </w:rPr>
        <w:t>,</w:t>
      </w:r>
      <w:r w:rsidR="00202387" w:rsidRPr="00E54204">
        <w:rPr>
          <w:szCs w:val="20"/>
        </w:rPr>
        <w:t xml:space="preserve"> which were</w:t>
      </w:r>
      <w:r w:rsidRPr="00E54204">
        <w:rPr>
          <w:szCs w:val="20"/>
        </w:rPr>
        <w:t xml:space="preserve"> common in the Hebrew Bible and in Near Eastern prophetic speech.</w:t>
      </w:r>
      <w:r w:rsidRPr="00E54204">
        <w:rPr>
          <w:szCs w:val="20"/>
          <w:vertAlign w:val="superscript"/>
        </w:rPr>
        <w:footnoteReference w:id="264"/>
      </w:r>
      <w:r w:rsidRPr="00E54204">
        <w:rPr>
          <w:szCs w:val="20"/>
        </w:rPr>
        <w:t xml:space="preserve">  A basic structure can also be discerned: an exhortation of encouragement, and a reason for the individual to gain confidence; sometimes a final section can include a promise of sorts.</w:t>
      </w:r>
      <w:r w:rsidRPr="00E54204">
        <w:rPr>
          <w:szCs w:val="20"/>
          <w:vertAlign w:val="superscript"/>
        </w:rPr>
        <w:footnoteReference w:id="265"/>
      </w:r>
      <w:r w:rsidRPr="00E54204">
        <w:rPr>
          <w:szCs w:val="20"/>
        </w:rPr>
        <w:t xml:space="preserve">  In the following chapter I will cover more in detail the primary function(s) of the </w:t>
      </w:r>
      <w:r w:rsidRPr="00E54204">
        <w:rPr>
          <w:i/>
          <w:szCs w:val="20"/>
        </w:rPr>
        <w:t>bat kol</w:t>
      </w:r>
      <w:r w:rsidRPr="00E54204">
        <w:rPr>
          <w:szCs w:val="20"/>
        </w:rPr>
        <w:t>,</w:t>
      </w:r>
      <w:r w:rsidR="00202387" w:rsidRPr="00E54204">
        <w:rPr>
          <w:szCs w:val="20"/>
        </w:rPr>
        <w:t xml:space="preserve"> but it should</w:t>
      </w:r>
      <w:r w:rsidRPr="00E54204">
        <w:rPr>
          <w:szCs w:val="20"/>
        </w:rPr>
        <w:t xml:space="preserve"> suffice for now to state that the manner the </w:t>
      </w:r>
      <w:r w:rsidRPr="00E54204">
        <w:rPr>
          <w:i/>
          <w:szCs w:val="20"/>
        </w:rPr>
        <w:t>bat kol</w:t>
      </w:r>
      <w:r w:rsidRPr="00E54204">
        <w:rPr>
          <w:szCs w:val="20"/>
        </w:rPr>
        <w:t xml:space="preserve"> encourages individuals in dire circumstances, like in cases of martyrdom, is quite similar to the “oracle of assurance.”  Hence, a connection can be made not just in the presence of heavenly voices, but also in their respective functions.</w:t>
      </w:r>
    </w:p>
    <w:p w14:paraId="4F3E4796" w14:textId="77777777" w:rsidR="00AA1903" w:rsidRPr="00E54204" w:rsidRDefault="00F83D13" w:rsidP="00AA1903">
      <w:pPr>
        <w:spacing w:after="160"/>
        <w:rPr>
          <w:i/>
          <w:szCs w:val="20"/>
        </w:rPr>
      </w:pPr>
      <w:r w:rsidRPr="00E54204">
        <w:rPr>
          <w:szCs w:val="20"/>
        </w:rPr>
        <w:t>C.</w:t>
      </w:r>
      <w:r w:rsidRPr="00E54204">
        <w:rPr>
          <w:szCs w:val="20"/>
        </w:rPr>
        <w:tab/>
      </w:r>
      <w:r w:rsidR="00AA1903" w:rsidRPr="00E54204">
        <w:rPr>
          <w:i/>
          <w:szCs w:val="20"/>
        </w:rPr>
        <w:t>Greek Writings:</w:t>
      </w:r>
    </w:p>
    <w:p w14:paraId="234D2B9F" w14:textId="77777777" w:rsidR="00AA1903" w:rsidRPr="00E54204" w:rsidRDefault="00AA1903" w:rsidP="00AA1903">
      <w:pPr>
        <w:spacing w:after="160"/>
        <w:ind w:firstLine="720"/>
        <w:rPr>
          <w:rFonts w:cs="Times New Roman"/>
          <w:szCs w:val="20"/>
        </w:rPr>
      </w:pPr>
      <w:r w:rsidRPr="00E54204">
        <w:rPr>
          <w:szCs w:val="20"/>
        </w:rPr>
        <w:t>Before proceeding with the Talmudic text, some remarks concerning Greek literature are appropriate in discussing works that share this common literary device</w:t>
      </w:r>
      <w:r w:rsidRPr="00E54204">
        <w:rPr>
          <w:i/>
          <w:szCs w:val="20"/>
        </w:rPr>
        <w:t xml:space="preserve">.  </w:t>
      </w:r>
      <w:r w:rsidRPr="00E54204">
        <w:rPr>
          <w:szCs w:val="20"/>
        </w:rPr>
        <w:t>Hellenism’s influence pervaded much of the ancient world at one time.  Nevertheless, there were segments of Jews who rep</w:t>
      </w:r>
      <w:r w:rsidR="0037544D" w:rsidRPr="00E54204">
        <w:rPr>
          <w:szCs w:val="20"/>
        </w:rPr>
        <w:t>udiated aspects of this culture,</w:t>
      </w:r>
      <w:r w:rsidRPr="00E54204">
        <w:rPr>
          <w:szCs w:val="20"/>
        </w:rPr>
        <w:t xml:space="preserve"> in particular when injunctions were placed upon the Jewish people that were contrary to their prescribed ways of life.</w:t>
      </w:r>
      <w:r w:rsidRPr="00E54204">
        <w:rPr>
          <w:szCs w:val="20"/>
          <w:vertAlign w:val="superscript"/>
        </w:rPr>
        <w:footnoteReference w:id="266"/>
      </w:r>
      <w:r w:rsidRPr="00E54204">
        <w:rPr>
          <w:szCs w:val="20"/>
        </w:rPr>
        <w:t xml:space="preserve">   According to Otto Betz one of the meanings of the word </w:t>
      </w:r>
      <w:r w:rsidRPr="00E54204">
        <w:rPr>
          <w:rFonts w:cs="Times New Roman"/>
          <w:szCs w:val="20"/>
        </w:rPr>
        <w:t>φωνή (</w:t>
      </w:r>
      <w:r w:rsidR="00C77570" w:rsidRPr="00E54204">
        <w:rPr>
          <w:rFonts w:cs="Times New Roman"/>
          <w:i/>
          <w:szCs w:val="20"/>
        </w:rPr>
        <w:t>phoné</w:t>
      </w:r>
      <w:r w:rsidRPr="00E54204">
        <w:rPr>
          <w:rFonts w:cs="Times New Roman"/>
          <w:szCs w:val="20"/>
        </w:rPr>
        <w:t>) can be, “the utterance of a deity</w:t>
      </w:r>
      <w:r w:rsidR="00B12C30" w:rsidRPr="00E54204">
        <w:rPr>
          <w:rFonts w:cs="Times New Roman"/>
          <w:szCs w:val="20"/>
        </w:rPr>
        <w:t>,</w:t>
      </w:r>
      <w:r w:rsidRPr="00E54204">
        <w:rPr>
          <w:rFonts w:cs="Times New Roman"/>
          <w:szCs w:val="20"/>
        </w:rPr>
        <w:t xml:space="preserve"> the organ of the divine fiat by which the sun and stars were made.”</w:t>
      </w:r>
      <w:r w:rsidRPr="00E54204">
        <w:rPr>
          <w:rFonts w:cs="Times New Roman"/>
          <w:szCs w:val="20"/>
          <w:vertAlign w:val="superscript"/>
        </w:rPr>
        <w:footnoteReference w:id="267"/>
      </w:r>
      <w:r w:rsidR="005515C3" w:rsidRPr="00E54204">
        <w:rPr>
          <w:rFonts w:cs="Times New Roman"/>
          <w:szCs w:val="20"/>
        </w:rPr>
        <w:t xml:space="preserve">  This</w:t>
      </w:r>
      <w:r w:rsidRPr="00E54204">
        <w:rPr>
          <w:rFonts w:cs="Times New Roman"/>
          <w:szCs w:val="20"/>
        </w:rPr>
        <w:t xml:space="preserve"> definition evokes comparison with concepts from the Biblica</w:t>
      </w:r>
      <w:r w:rsidR="00B12C30" w:rsidRPr="00E54204">
        <w:rPr>
          <w:rFonts w:cs="Times New Roman"/>
          <w:szCs w:val="20"/>
        </w:rPr>
        <w:t>l and rabbinic corpora in which</w:t>
      </w:r>
      <w:r w:rsidRPr="00E54204">
        <w:rPr>
          <w:rFonts w:cs="Times New Roman"/>
          <w:szCs w:val="20"/>
        </w:rPr>
        <w:t xml:space="preserve"> the divine voice is an agent of creation and or God’s will.  Thus one Hellenistic understanding seems to underscore the role</w:t>
      </w:r>
      <w:r w:rsidR="005515C3" w:rsidRPr="00E54204">
        <w:rPr>
          <w:rFonts w:cs="Times New Roman"/>
          <w:szCs w:val="20"/>
        </w:rPr>
        <w:t xml:space="preserve"> of agents revealing divine words</w:t>
      </w:r>
      <w:r w:rsidRPr="00E54204">
        <w:rPr>
          <w:rFonts w:cs="Times New Roman"/>
          <w:szCs w:val="20"/>
        </w:rPr>
        <w:t>.  Hellenistic legends similarly portray Zeus’s voice as thunderous causing dread to those who hear it</w:t>
      </w:r>
      <w:r w:rsidR="00183268" w:rsidRPr="00E54204">
        <w:rPr>
          <w:rFonts w:cs="Times New Roman"/>
          <w:szCs w:val="20"/>
        </w:rPr>
        <w:t>.</w:t>
      </w:r>
      <w:r w:rsidRPr="00E54204">
        <w:rPr>
          <w:rFonts w:cs="Times New Roman"/>
          <w:szCs w:val="20"/>
          <w:vertAlign w:val="superscript"/>
        </w:rPr>
        <w:footnoteReference w:id="268"/>
      </w:r>
      <w:r w:rsidR="00183268" w:rsidRPr="00E54204">
        <w:rPr>
          <w:rFonts w:cs="Times New Roman"/>
          <w:szCs w:val="20"/>
        </w:rPr>
        <w:t xml:space="preserve">  </w:t>
      </w:r>
      <w:r w:rsidRPr="00E54204">
        <w:rPr>
          <w:rFonts w:cs="Times New Roman"/>
          <w:szCs w:val="20"/>
        </w:rPr>
        <w:t>Socrates appeals to God’s voice as a directive force.</w:t>
      </w:r>
      <w:r w:rsidRPr="00E54204">
        <w:rPr>
          <w:rFonts w:cs="Times New Roman"/>
          <w:szCs w:val="20"/>
          <w:vertAlign w:val="superscript"/>
        </w:rPr>
        <w:footnoteReference w:id="269"/>
      </w:r>
      <w:r w:rsidRPr="00E54204">
        <w:rPr>
          <w:rFonts w:cs="Times New Roman"/>
          <w:szCs w:val="20"/>
        </w:rPr>
        <w:t xml:space="preserve">  Other ancient Near Eastern and Greek texts point to legislation being derived from a divine voice.</w:t>
      </w:r>
      <w:r w:rsidRPr="00E54204">
        <w:rPr>
          <w:rFonts w:cs="Times New Roman"/>
          <w:szCs w:val="20"/>
          <w:vertAlign w:val="superscript"/>
        </w:rPr>
        <w:footnoteReference w:id="270"/>
      </w:r>
      <w:r w:rsidRPr="00E54204">
        <w:rPr>
          <w:rFonts w:cs="Times New Roman"/>
          <w:szCs w:val="20"/>
        </w:rPr>
        <w:t xml:space="preserve">   </w:t>
      </w:r>
    </w:p>
    <w:p w14:paraId="628F47CE" w14:textId="77777777" w:rsidR="00AA1903" w:rsidRPr="00E54204" w:rsidRDefault="00AA1903" w:rsidP="00AA1903">
      <w:pPr>
        <w:spacing w:after="160"/>
        <w:ind w:firstLine="720"/>
        <w:rPr>
          <w:rFonts w:cs="Times New Roman"/>
          <w:szCs w:val="20"/>
        </w:rPr>
      </w:pPr>
      <w:r w:rsidRPr="00E54204">
        <w:rPr>
          <w:rFonts w:cs="Times New Roman"/>
          <w:szCs w:val="20"/>
        </w:rPr>
        <w:t>Another interesting detail attested to in Greek</w:t>
      </w:r>
      <w:r w:rsidR="00B12C30" w:rsidRPr="00E54204">
        <w:rPr>
          <w:rFonts w:cs="Times New Roman"/>
          <w:szCs w:val="20"/>
        </w:rPr>
        <w:t xml:space="preserve"> and Roman</w:t>
      </w:r>
      <w:r w:rsidR="00602DEC" w:rsidRPr="00E54204">
        <w:rPr>
          <w:rFonts w:cs="Times New Roman"/>
          <w:szCs w:val="20"/>
        </w:rPr>
        <w:t xml:space="preserve"> writings are</w:t>
      </w:r>
      <w:r w:rsidR="00985ABF" w:rsidRPr="00E54204">
        <w:rPr>
          <w:rFonts w:cs="Times New Roman"/>
          <w:szCs w:val="20"/>
        </w:rPr>
        <w:t xml:space="preserve"> how supernatural </w:t>
      </w:r>
      <w:r w:rsidR="00602DEC" w:rsidRPr="00E54204">
        <w:rPr>
          <w:rFonts w:cs="Times New Roman"/>
          <w:szCs w:val="20"/>
        </w:rPr>
        <w:t>voice</w:t>
      </w:r>
      <w:r w:rsidR="00985ABF" w:rsidRPr="00E54204">
        <w:rPr>
          <w:rFonts w:cs="Times New Roman"/>
          <w:szCs w:val="20"/>
        </w:rPr>
        <w:t xml:space="preserve">s allegedly occurred </w:t>
      </w:r>
      <w:r w:rsidRPr="00E54204">
        <w:rPr>
          <w:rFonts w:cs="Times New Roman"/>
          <w:szCs w:val="20"/>
        </w:rPr>
        <w:t>in temples.</w:t>
      </w:r>
      <w:r w:rsidRPr="00E54204">
        <w:rPr>
          <w:rFonts w:cs="Times New Roman"/>
          <w:szCs w:val="20"/>
          <w:vertAlign w:val="superscript"/>
        </w:rPr>
        <w:footnoteReference w:id="271"/>
      </w:r>
      <w:r w:rsidRPr="00E54204">
        <w:rPr>
          <w:rFonts w:cs="Times New Roman"/>
          <w:szCs w:val="20"/>
        </w:rPr>
        <w:t xml:space="preserve">  The Roman historian and politician, Tacitus (ca. 56-120 CE), also narrates how certain Jews interpreted prodigies as portents</w:t>
      </w:r>
      <w:r w:rsidR="00B12C30" w:rsidRPr="00E54204">
        <w:rPr>
          <w:rFonts w:cs="Times New Roman"/>
          <w:szCs w:val="20"/>
        </w:rPr>
        <w:t xml:space="preserve"> that were indicative that their</w:t>
      </w:r>
      <w:r w:rsidRPr="00E54204">
        <w:rPr>
          <w:rFonts w:cs="Times New Roman"/>
          <w:szCs w:val="20"/>
        </w:rPr>
        <w:t xml:space="preserve"> time to rule had come.  One of the signs that occurred in the Temple was a superhuman voice that declared, “</w:t>
      </w:r>
      <w:r w:rsidR="00CC7276" w:rsidRPr="00E54204">
        <w:rPr>
          <w:rFonts w:cs="Times New Roman"/>
          <w:szCs w:val="20"/>
        </w:rPr>
        <w:t>‘</w:t>
      </w:r>
      <w:r w:rsidRPr="00E54204">
        <w:rPr>
          <w:rFonts w:cs="Times New Roman"/>
          <w:szCs w:val="20"/>
        </w:rPr>
        <w:t>The gods are departing;</w:t>
      </w:r>
      <w:r w:rsidR="00CC7276" w:rsidRPr="00E54204">
        <w:rPr>
          <w:rFonts w:cs="Times New Roman"/>
          <w:szCs w:val="20"/>
        </w:rPr>
        <w:t>’</w:t>
      </w:r>
      <w:r w:rsidRPr="00E54204">
        <w:rPr>
          <w:rFonts w:cs="Times New Roman"/>
          <w:szCs w:val="20"/>
        </w:rPr>
        <w:t xml:space="preserve"> at the same moment the mighty stir of their going was heard.”</w:t>
      </w:r>
      <w:r w:rsidRPr="00E54204">
        <w:rPr>
          <w:rFonts w:cs="Times New Roman"/>
          <w:szCs w:val="20"/>
          <w:vertAlign w:val="superscript"/>
        </w:rPr>
        <w:footnoteReference w:id="272"/>
      </w:r>
      <w:r w:rsidRPr="00E54204">
        <w:rPr>
          <w:rFonts w:cs="Times New Roman"/>
          <w:szCs w:val="20"/>
        </w:rPr>
        <w:t xml:space="preserve">  This imagery also occurs several times in the book of John’s Revelation.</w:t>
      </w:r>
      <w:r w:rsidRPr="00E54204">
        <w:rPr>
          <w:rFonts w:cs="Times New Roman"/>
          <w:szCs w:val="20"/>
          <w:vertAlign w:val="superscript"/>
        </w:rPr>
        <w:footnoteReference w:id="273"/>
      </w:r>
      <w:r w:rsidRPr="00E54204">
        <w:rPr>
          <w:rFonts w:cs="Times New Roman"/>
          <w:szCs w:val="20"/>
        </w:rPr>
        <w:t xml:space="preserve">  </w:t>
      </w:r>
    </w:p>
    <w:p w14:paraId="2DC289E5" w14:textId="77777777" w:rsidR="00AA1903" w:rsidRPr="00E54204" w:rsidRDefault="00AA1903" w:rsidP="00AA1903">
      <w:pPr>
        <w:spacing w:after="160"/>
        <w:ind w:firstLine="720"/>
        <w:rPr>
          <w:rFonts w:cs="Times New Roman"/>
          <w:szCs w:val="20"/>
        </w:rPr>
      </w:pPr>
      <w:r w:rsidRPr="00E54204">
        <w:rPr>
          <w:rFonts w:cs="Times New Roman"/>
          <w:szCs w:val="20"/>
        </w:rPr>
        <w:t xml:space="preserve">Lastly, the Greek world upheld the belief in oracles.  The term </w:t>
      </w:r>
      <w:r w:rsidRPr="00E54204">
        <w:rPr>
          <w:rFonts w:cs="Times New Roman"/>
          <w:i/>
          <w:szCs w:val="20"/>
        </w:rPr>
        <w:t xml:space="preserve">oracle </w:t>
      </w:r>
      <w:r w:rsidRPr="00E54204">
        <w:rPr>
          <w:rFonts w:cs="Times New Roman"/>
          <w:szCs w:val="20"/>
        </w:rPr>
        <w:t xml:space="preserve">comes from the Latin </w:t>
      </w:r>
      <w:r w:rsidRPr="00E54204">
        <w:rPr>
          <w:rFonts w:cs="Times New Roman"/>
          <w:i/>
          <w:szCs w:val="20"/>
        </w:rPr>
        <w:t>oraculum</w:t>
      </w:r>
      <w:r w:rsidRPr="00E54204">
        <w:rPr>
          <w:rFonts w:cs="Times New Roman"/>
          <w:szCs w:val="20"/>
        </w:rPr>
        <w:t xml:space="preserve">, “a thing </w:t>
      </w:r>
      <w:r w:rsidR="00424F35" w:rsidRPr="00E54204">
        <w:rPr>
          <w:rFonts w:cs="Times New Roman"/>
          <w:szCs w:val="20"/>
        </w:rPr>
        <w:t>spoken.”</w:t>
      </w:r>
      <w:r w:rsidRPr="00E54204">
        <w:rPr>
          <w:rFonts w:cs="Times New Roman"/>
          <w:szCs w:val="20"/>
          <w:vertAlign w:val="superscript"/>
        </w:rPr>
        <w:footnoteReference w:id="274"/>
      </w:r>
      <w:r w:rsidRPr="00E54204">
        <w:rPr>
          <w:rFonts w:cs="Times New Roman"/>
          <w:szCs w:val="20"/>
        </w:rPr>
        <w:t xml:space="preserve">  Jacob Howland remarked, “Greek oracles were notoriously ambiguous, and several famous legends spelled out the dire consequences for those who failed to inquire into their meaning.  In fact, the admonition “Know Thyse</w:t>
      </w:r>
      <w:r w:rsidR="005F513D" w:rsidRPr="00E54204">
        <w:rPr>
          <w:rFonts w:cs="Times New Roman"/>
          <w:szCs w:val="20"/>
        </w:rPr>
        <w:t>lf” was inscribed in or on the T</w:t>
      </w:r>
      <w:r w:rsidRPr="00E54204">
        <w:rPr>
          <w:rFonts w:cs="Times New Roman"/>
          <w:szCs w:val="20"/>
        </w:rPr>
        <w:t>emple at Delphi, as if to underscore that an oracle from the Pythia was to be received as a provocation to thought, and especially to self-reflection.</w:t>
      </w:r>
      <w:r w:rsidRPr="00E54204">
        <w:rPr>
          <w:rFonts w:cs="Times New Roman"/>
          <w:szCs w:val="20"/>
          <w:vertAlign w:val="superscript"/>
        </w:rPr>
        <w:footnoteReference w:id="275"/>
      </w:r>
      <w:r w:rsidRPr="00E54204">
        <w:rPr>
          <w:rFonts w:cs="Times New Roman"/>
          <w:szCs w:val="20"/>
        </w:rPr>
        <w:t xml:space="preserve">  The purpose of the oracle included answering inquiries and offering predictions of the future.</w:t>
      </w:r>
      <w:r w:rsidRPr="00E54204">
        <w:rPr>
          <w:rFonts w:cs="Times New Roman"/>
          <w:szCs w:val="20"/>
          <w:vertAlign w:val="superscript"/>
        </w:rPr>
        <w:footnoteReference w:id="276"/>
      </w:r>
    </w:p>
    <w:p w14:paraId="1B30EACA" w14:textId="77777777" w:rsidR="00AA1903" w:rsidRPr="00E54204" w:rsidRDefault="00F83D13" w:rsidP="00AA1903">
      <w:pPr>
        <w:spacing w:after="160"/>
        <w:rPr>
          <w:rFonts w:cs="Times New Roman"/>
          <w:i/>
          <w:szCs w:val="20"/>
        </w:rPr>
      </w:pPr>
      <w:r w:rsidRPr="00E54204">
        <w:rPr>
          <w:rFonts w:cs="Times New Roman"/>
          <w:szCs w:val="20"/>
        </w:rPr>
        <w:t>D.</w:t>
      </w:r>
      <w:r w:rsidRPr="00E54204">
        <w:rPr>
          <w:rFonts w:cs="Times New Roman"/>
          <w:szCs w:val="20"/>
        </w:rPr>
        <w:tab/>
      </w:r>
      <w:r w:rsidR="00AA1903" w:rsidRPr="00E54204">
        <w:rPr>
          <w:rFonts w:cs="Times New Roman"/>
          <w:i/>
          <w:szCs w:val="20"/>
        </w:rPr>
        <w:t xml:space="preserve">Josephus: </w:t>
      </w:r>
    </w:p>
    <w:p w14:paraId="3EABFDA2" w14:textId="77777777" w:rsidR="004D1F1C" w:rsidRPr="00E54204" w:rsidRDefault="0033740F" w:rsidP="00AA1903">
      <w:pPr>
        <w:spacing w:after="160"/>
        <w:ind w:firstLine="720"/>
        <w:rPr>
          <w:rFonts w:cs="Times New Roman"/>
          <w:szCs w:val="20"/>
        </w:rPr>
      </w:pPr>
      <w:r w:rsidRPr="00E54204">
        <w:rPr>
          <w:rFonts w:cs="Times New Roman"/>
          <w:szCs w:val="20"/>
        </w:rPr>
        <w:t>Josephus and both the Jerusalem and Babylonian Talmud</w:t>
      </w:r>
      <w:r w:rsidR="00034B4A" w:rsidRPr="00E54204">
        <w:rPr>
          <w:rFonts w:cs="Times New Roman"/>
          <w:szCs w:val="20"/>
        </w:rPr>
        <w:t>im</w:t>
      </w:r>
      <w:r w:rsidRPr="00E54204">
        <w:rPr>
          <w:rFonts w:cs="Times New Roman"/>
          <w:szCs w:val="20"/>
        </w:rPr>
        <w:t>,</w:t>
      </w:r>
      <w:r w:rsidR="00AA1903" w:rsidRPr="00E54204">
        <w:rPr>
          <w:rFonts w:cs="Times New Roman"/>
          <w:szCs w:val="20"/>
        </w:rPr>
        <w:t xml:space="preserve"> attest to</w:t>
      </w:r>
      <w:r w:rsidRPr="00E54204">
        <w:rPr>
          <w:rFonts w:cs="Times New Roman"/>
          <w:szCs w:val="20"/>
        </w:rPr>
        <w:t xml:space="preserve"> the same heavenly</w:t>
      </w:r>
      <w:r w:rsidR="00AA1903" w:rsidRPr="00E54204">
        <w:rPr>
          <w:rFonts w:cs="Times New Roman"/>
          <w:szCs w:val="20"/>
        </w:rPr>
        <w:t xml:space="preserve"> voice</w:t>
      </w:r>
      <w:r w:rsidRPr="00E54204">
        <w:rPr>
          <w:rFonts w:cs="Times New Roman"/>
          <w:szCs w:val="20"/>
        </w:rPr>
        <w:t xml:space="preserve"> that emanated</w:t>
      </w:r>
      <w:r w:rsidR="00AA1903" w:rsidRPr="00E54204">
        <w:rPr>
          <w:rFonts w:cs="Times New Roman"/>
          <w:szCs w:val="20"/>
        </w:rPr>
        <w:t xml:space="preserve"> from inside the Temple in Jerusalem to communicate to</w:t>
      </w:r>
      <w:r w:rsidR="006C076C" w:rsidRPr="00E54204">
        <w:rPr>
          <w:rFonts w:cs="Times New Roman"/>
          <w:szCs w:val="20"/>
        </w:rPr>
        <w:t xml:space="preserve"> the</w:t>
      </w:r>
      <w:r w:rsidR="00D93FF6" w:rsidRPr="00E54204">
        <w:rPr>
          <w:rFonts w:cs="Times New Roman"/>
          <w:szCs w:val="20"/>
        </w:rPr>
        <w:t xml:space="preserve"> Hasmonean king and priest</w:t>
      </w:r>
      <w:r w:rsidR="00AA1903" w:rsidRPr="00E54204">
        <w:rPr>
          <w:rFonts w:cs="Times New Roman"/>
          <w:szCs w:val="20"/>
        </w:rPr>
        <w:t xml:space="preserve"> John Hyrcanus that a military victory was won by his army.</w:t>
      </w:r>
      <w:r w:rsidR="00AA1903" w:rsidRPr="00E54204">
        <w:rPr>
          <w:rFonts w:cs="Times New Roman"/>
          <w:szCs w:val="20"/>
          <w:vertAlign w:val="superscript"/>
        </w:rPr>
        <w:footnoteReference w:id="277"/>
      </w:r>
      <w:r w:rsidR="00AA1903" w:rsidRPr="00E54204">
        <w:rPr>
          <w:rFonts w:cs="Times New Roman"/>
          <w:szCs w:val="20"/>
        </w:rPr>
        <w:t xml:space="preserve">  Otto Betz notes that Josephus avoids using the phrase φωνὴ</w:t>
      </w:r>
      <w:r w:rsidR="006C076C" w:rsidRPr="00E54204">
        <w:rPr>
          <w:rFonts w:cs="Times New Roman"/>
          <w:szCs w:val="20"/>
        </w:rPr>
        <w:t xml:space="preserve"> θεοû</w:t>
      </w:r>
      <w:r w:rsidR="00AA1903" w:rsidRPr="00E54204">
        <w:rPr>
          <w:rFonts w:cs="Times New Roman"/>
          <w:szCs w:val="20"/>
        </w:rPr>
        <w:t xml:space="preserve"> (“Voice of God”) and instead employs θεία φωνή (“God’s voice”) when God relates the bad news to Abraham that Israel will become slaves in Egypt.</w:t>
      </w:r>
      <w:r w:rsidR="00AA1903" w:rsidRPr="00E54204">
        <w:rPr>
          <w:rFonts w:cs="Times New Roman"/>
          <w:szCs w:val="20"/>
          <w:vertAlign w:val="superscript"/>
        </w:rPr>
        <w:footnoteReference w:id="278"/>
      </w:r>
      <w:r w:rsidR="00AA1903" w:rsidRPr="00E54204">
        <w:rPr>
          <w:rFonts w:cs="Times New Roman"/>
          <w:szCs w:val="20"/>
        </w:rPr>
        <w:t xml:space="preserve">  The reason behind</w:t>
      </w:r>
      <w:r w:rsidR="00B84BE0" w:rsidRPr="00E54204">
        <w:rPr>
          <w:rFonts w:cs="Times New Roman"/>
          <w:szCs w:val="20"/>
        </w:rPr>
        <w:t xml:space="preserve"> this</w:t>
      </w:r>
      <w:r w:rsidR="00AA1903" w:rsidRPr="00E54204">
        <w:rPr>
          <w:rFonts w:cs="Times New Roman"/>
          <w:szCs w:val="20"/>
        </w:rPr>
        <w:t xml:space="preserve"> could be an emphasis of God’s transcendence</w:t>
      </w:r>
      <w:r w:rsidR="00514F32" w:rsidRPr="00E54204">
        <w:rPr>
          <w:rFonts w:cs="Times New Roman"/>
          <w:szCs w:val="20"/>
        </w:rPr>
        <w:t xml:space="preserve"> rather than His immanence.  Therefore</w:t>
      </w:r>
      <w:r w:rsidR="00AA1903" w:rsidRPr="00E54204">
        <w:rPr>
          <w:rFonts w:cs="Times New Roman"/>
          <w:szCs w:val="20"/>
        </w:rPr>
        <w:t xml:space="preserve"> the phrase “God’s voice”, lends itself </w:t>
      </w:r>
      <w:r w:rsidR="00514F32" w:rsidRPr="00E54204">
        <w:rPr>
          <w:rFonts w:cs="Times New Roman"/>
          <w:szCs w:val="20"/>
        </w:rPr>
        <w:t>for interpretation, but implies</w:t>
      </w:r>
      <w:r w:rsidR="00AA1903" w:rsidRPr="00E54204">
        <w:rPr>
          <w:rFonts w:cs="Times New Roman"/>
          <w:szCs w:val="20"/>
        </w:rPr>
        <w:t xml:space="preserve"> God</w:t>
      </w:r>
      <w:r w:rsidR="00371ABD" w:rsidRPr="00E54204">
        <w:rPr>
          <w:rFonts w:cs="Times New Roman"/>
          <w:szCs w:val="20"/>
        </w:rPr>
        <w:t xml:space="preserve"> is not explicitly manifest, rather, He communicates through the agency of messengers</w:t>
      </w:r>
      <w:r w:rsidR="00AA1903" w:rsidRPr="00E54204">
        <w:rPr>
          <w:rFonts w:cs="Times New Roman"/>
          <w:szCs w:val="20"/>
        </w:rPr>
        <w:t>.  In this same vein, Josephus also interprets God’s call to Moses from the burning bush as, “an act of fire that found a voice and used words.”</w:t>
      </w:r>
      <w:r w:rsidR="00AA1903" w:rsidRPr="00E54204">
        <w:rPr>
          <w:rFonts w:cs="Times New Roman"/>
          <w:szCs w:val="20"/>
          <w:vertAlign w:val="superscript"/>
        </w:rPr>
        <w:footnoteReference w:id="279"/>
      </w:r>
      <w:r w:rsidR="00AA1903" w:rsidRPr="00E54204">
        <w:rPr>
          <w:rFonts w:cs="Times New Roman"/>
          <w:szCs w:val="20"/>
        </w:rPr>
        <w:t xml:space="preserve">  </w:t>
      </w:r>
    </w:p>
    <w:p w14:paraId="672DF6CE" w14:textId="77777777" w:rsidR="00AA1903" w:rsidRPr="00E54204" w:rsidRDefault="00AA1903" w:rsidP="00AA1903">
      <w:pPr>
        <w:spacing w:after="160"/>
        <w:ind w:firstLine="720"/>
        <w:rPr>
          <w:rFonts w:cs="Times New Roman"/>
          <w:szCs w:val="20"/>
        </w:rPr>
      </w:pPr>
      <w:r w:rsidRPr="00E54204">
        <w:rPr>
          <w:rFonts w:cs="Times New Roman"/>
          <w:szCs w:val="20"/>
        </w:rPr>
        <w:t>Betz suspects that in the overlap between Josephus and rabbinic texts that recount the voice from heaven to John Hyrcanus, that the former may have been influenced by the latter.</w:t>
      </w:r>
      <w:r w:rsidRPr="00E54204">
        <w:rPr>
          <w:rFonts w:cs="Times New Roman"/>
          <w:szCs w:val="20"/>
          <w:vertAlign w:val="superscript"/>
        </w:rPr>
        <w:footnoteReference w:id="280"/>
      </w:r>
      <w:r w:rsidRPr="00E54204">
        <w:rPr>
          <w:rFonts w:cs="Times New Roman"/>
          <w:szCs w:val="20"/>
        </w:rPr>
        <w:t xml:space="preserve">  </w:t>
      </w:r>
      <w:r w:rsidR="00424F35" w:rsidRPr="00E54204">
        <w:rPr>
          <w:rFonts w:cs="Times New Roman"/>
          <w:szCs w:val="20"/>
        </w:rPr>
        <w:t xml:space="preserve">In B. </w:t>
      </w:r>
      <w:r w:rsidR="00424F35" w:rsidRPr="00E54204">
        <w:rPr>
          <w:rFonts w:cs="Times New Roman"/>
          <w:i/>
          <w:szCs w:val="20"/>
        </w:rPr>
        <w:t xml:space="preserve">Sotah </w:t>
      </w:r>
      <w:r w:rsidR="00424F35" w:rsidRPr="00E54204">
        <w:rPr>
          <w:rFonts w:cs="Times New Roman"/>
          <w:szCs w:val="20"/>
        </w:rPr>
        <w:t xml:space="preserve">33a we read that </w:t>
      </w:r>
      <w:r w:rsidR="004D1F1C" w:rsidRPr="00E54204">
        <w:rPr>
          <w:rFonts w:cs="Times New Roman"/>
          <w:szCs w:val="20"/>
        </w:rPr>
        <w:t xml:space="preserve">while John Hyrcanus was in the Temple, from the Holy of Holies a </w:t>
      </w:r>
      <w:r w:rsidR="004D1F1C" w:rsidRPr="00E54204">
        <w:rPr>
          <w:rFonts w:cs="Times New Roman"/>
          <w:i/>
          <w:szCs w:val="20"/>
        </w:rPr>
        <w:t xml:space="preserve">bat kol </w:t>
      </w:r>
      <w:r w:rsidR="004D1F1C" w:rsidRPr="00E54204">
        <w:rPr>
          <w:rFonts w:cs="Times New Roman"/>
          <w:szCs w:val="20"/>
        </w:rPr>
        <w:t xml:space="preserve">came forth and said, “The young men [i.e., your children] have won the battle against Antioch.”  Then the text recounts that Simon the righteous also heard a </w:t>
      </w:r>
      <w:r w:rsidR="004D1F1C" w:rsidRPr="00E54204">
        <w:rPr>
          <w:rFonts w:cs="Times New Roman"/>
          <w:i/>
          <w:szCs w:val="20"/>
        </w:rPr>
        <w:t xml:space="preserve">bat kol </w:t>
      </w:r>
      <w:r w:rsidR="004D1F1C" w:rsidRPr="00E54204">
        <w:rPr>
          <w:rFonts w:cs="Times New Roman"/>
          <w:szCs w:val="20"/>
        </w:rPr>
        <w:t>from the Holy of Holies which said, “Annulled is the decree set against the temple.”  Interestingly enough</w:t>
      </w:r>
      <w:r w:rsidR="007E49E8" w:rsidRPr="00E54204">
        <w:rPr>
          <w:rFonts w:cs="Times New Roman"/>
          <w:szCs w:val="20"/>
        </w:rPr>
        <w:t>,</w:t>
      </w:r>
      <w:r w:rsidR="004D1F1C" w:rsidRPr="00E54204">
        <w:rPr>
          <w:rFonts w:cs="Times New Roman"/>
          <w:szCs w:val="20"/>
        </w:rPr>
        <w:t xml:space="preserve"> the commentators say that it was in Aramaic that the </w:t>
      </w:r>
      <w:r w:rsidR="004D1F1C" w:rsidRPr="00E54204">
        <w:rPr>
          <w:rFonts w:cs="Times New Roman"/>
          <w:i/>
          <w:szCs w:val="20"/>
        </w:rPr>
        <w:t xml:space="preserve">bat kol </w:t>
      </w:r>
      <w:r w:rsidR="004D1F1C" w:rsidRPr="00E54204">
        <w:rPr>
          <w:rFonts w:cs="Times New Roman"/>
          <w:szCs w:val="20"/>
        </w:rPr>
        <w:t xml:space="preserve">spoke.  Earlier the passage remarks whether praying for one’s needs is permitted in Aramaic, the common vernacular of that age.  The examples of the </w:t>
      </w:r>
      <w:r w:rsidR="004D1F1C" w:rsidRPr="00E54204">
        <w:rPr>
          <w:rFonts w:cs="Times New Roman"/>
          <w:i/>
          <w:szCs w:val="20"/>
        </w:rPr>
        <w:t>bat kol</w:t>
      </w:r>
      <w:r w:rsidR="004D1F1C" w:rsidRPr="00E54204">
        <w:rPr>
          <w:rFonts w:cs="Times New Roman"/>
          <w:szCs w:val="20"/>
        </w:rPr>
        <w:t xml:space="preserve"> speaking in Aramaic </w:t>
      </w:r>
      <w:r w:rsidR="0033740F" w:rsidRPr="00E54204">
        <w:rPr>
          <w:rFonts w:cs="Times New Roman"/>
          <w:szCs w:val="20"/>
        </w:rPr>
        <w:t xml:space="preserve">are used to support the notion that ministering angels comprehend Aramaic or even that the </w:t>
      </w:r>
      <w:r w:rsidR="0033740F" w:rsidRPr="00E54204">
        <w:rPr>
          <w:rFonts w:cs="Times New Roman"/>
          <w:i/>
          <w:szCs w:val="20"/>
        </w:rPr>
        <w:t xml:space="preserve">bat kol </w:t>
      </w:r>
      <w:r w:rsidR="0033740F" w:rsidRPr="00E54204">
        <w:rPr>
          <w:rFonts w:cs="Times New Roman"/>
          <w:szCs w:val="20"/>
        </w:rPr>
        <w:t>was actually the angel Gabriel.</w:t>
      </w:r>
      <w:r w:rsidRPr="00E54204">
        <w:rPr>
          <w:rFonts w:cs="Times New Roman"/>
          <w:szCs w:val="20"/>
        </w:rPr>
        <w:t xml:space="preserve"> </w:t>
      </w:r>
      <w:r w:rsidR="0033740F" w:rsidRPr="00E54204">
        <w:rPr>
          <w:rFonts w:cs="Times New Roman"/>
          <w:szCs w:val="20"/>
        </w:rPr>
        <w:t xml:space="preserve"> </w:t>
      </w:r>
      <w:r w:rsidR="0029687B" w:rsidRPr="00E54204">
        <w:rPr>
          <w:rFonts w:cs="Times New Roman"/>
          <w:szCs w:val="20"/>
        </w:rPr>
        <w:t xml:space="preserve">The account of John Hyrcanus is an interesting </w:t>
      </w:r>
      <w:r w:rsidR="007E49E8" w:rsidRPr="00E54204">
        <w:rPr>
          <w:rFonts w:cs="Times New Roman"/>
          <w:szCs w:val="20"/>
        </w:rPr>
        <w:t>commonality with rabbinic texts; i</w:t>
      </w:r>
      <w:r w:rsidR="0029687B" w:rsidRPr="00E54204">
        <w:rPr>
          <w:rFonts w:cs="Times New Roman"/>
          <w:szCs w:val="20"/>
        </w:rPr>
        <w:t>t is possible the story circulated among Pharisaical and or priestly circles since Josephus was</w:t>
      </w:r>
      <w:r w:rsidR="00FE74E0" w:rsidRPr="00E54204">
        <w:rPr>
          <w:rFonts w:cs="Times New Roman"/>
          <w:szCs w:val="20"/>
        </w:rPr>
        <w:t xml:space="preserve"> a part</w:t>
      </w:r>
      <w:r w:rsidR="0029687B" w:rsidRPr="00E54204">
        <w:rPr>
          <w:rFonts w:cs="Times New Roman"/>
          <w:szCs w:val="20"/>
        </w:rPr>
        <w:t xml:space="preserve"> of both groups.</w:t>
      </w:r>
    </w:p>
    <w:p w14:paraId="69623D8F" w14:textId="77777777" w:rsidR="00AA1903" w:rsidRPr="00E54204" w:rsidRDefault="00AA1903" w:rsidP="00AA1903">
      <w:pPr>
        <w:spacing w:after="160"/>
        <w:ind w:firstLine="720"/>
        <w:rPr>
          <w:szCs w:val="20"/>
        </w:rPr>
      </w:pPr>
      <w:r w:rsidRPr="00E54204">
        <w:rPr>
          <w:rFonts w:cs="Times New Roman"/>
          <w:szCs w:val="20"/>
        </w:rPr>
        <w:t>Josephus also recounts the strange oracles of a Jesus son of Ananias.  During the feast of Tabernacles at 62 CE he began to peripatetically decry the coming de</w:t>
      </w:r>
      <w:r w:rsidR="0052132B" w:rsidRPr="00E54204">
        <w:rPr>
          <w:rFonts w:cs="Times New Roman"/>
          <w:szCs w:val="20"/>
        </w:rPr>
        <w:t>struction of Jerusalem and the T</w:t>
      </w:r>
      <w:r w:rsidRPr="00E54204">
        <w:rPr>
          <w:rFonts w:cs="Times New Roman"/>
          <w:szCs w:val="20"/>
        </w:rPr>
        <w:t>emple.  He wailed with the following phrase: “A voice from the east, a voice from the west, a voice from the four winds; a voice against Jerusalem and the sanctuary, a voice against the bridegroom and the bride, a voice against the people!”</w:t>
      </w:r>
      <w:r w:rsidRPr="00E54204">
        <w:rPr>
          <w:rFonts w:cs="Times New Roman"/>
          <w:szCs w:val="20"/>
          <w:vertAlign w:val="superscript"/>
        </w:rPr>
        <w:footnoteReference w:id="281"/>
      </w:r>
      <w:r w:rsidRPr="00E54204">
        <w:rPr>
          <w:rFonts w:cs="Times New Roman"/>
          <w:szCs w:val="20"/>
        </w:rPr>
        <w:t xml:space="preserve">  He was beaten a</w:t>
      </w:r>
      <w:r w:rsidR="007E49E8" w:rsidRPr="00E54204">
        <w:rPr>
          <w:rFonts w:cs="Times New Roman"/>
          <w:szCs w:val="20"/>
        </w:rPr>
        <w:t xml:space="preserve">nd scourged by the authorities in order </w:t>
      </w:r>
      <w:r w:rsidRPr="00E54204">
        <w:rPr>
          <w:rFonts w:cs="Times New Roman"/>
          <w:szCs w:val="20"/>
        </w:rPr>
        <w:t>to bring him to his senses, but</w:t>
      </w:r>
      <w:r w:rsidR="007E49E8" w:rsidRPr="00E54204">
        <w:rPr>
          <w:rFonts w:cs="Times New Roman"/>
          <w:szCs w:val="20"/>
        </w:rPr>
        <w:t xml:space="preserve"> it was</w:t>
      </w:r>
      <w:r w:rsidRPr="00E54204">
        <w:rPr>
          <w:rFonts w:cs="Times New Roman"/>
          <w:szCs w:val="20"/>
        </w:rPr>
        <w:t xml:space="preserve"> to no avail.  Jesus did </w:t>
      </w:r>
      <w:r w:rsidR="007E49E8" w:rsidRPr="00E54204">
        <w:rPr>
          <w:rFonts w:cs="Times New Roman"/>
          <w:szCs w:val="20"/>
        </w:rPr>
        <w:t>not relent from his message</w:t>
      </w:r>
      <w:r w:rsidRPr="00E54204">
        <w:rPr>
          <w:rFonts w:cs="Times New Roman"/>
          <w:szCs w:val="20"/>
        </w:rPr>
        <w:t>.  For seven years and five months he persisted, until during Jerusalem’s siege, he was killed by a stone catapulted by a Roman machine in 69 CE.  The theme of supernatural voices echoing from or concerning temples finds att</w:t>
      </w:r>
      <w:r w:rsidR="007E49E8" w:rsidRPr="00E54204">
        <w:rPr>
          <w:rFonts w:cs="Times New Roman"/>
          <w:szCs w:val="20"/>
        </w:rPr>
        <w:t>estation in multiple Greek and f</w:t>
      </w:r>
      <w:r w:rsidRPr="00E54204">
        <w:rPr>
          <w:rFonts w:cs="Times New Roman"/>
          <w:szCs w:val="20"/>
        </w:rPr>
        <w:t xml:space="preserve">irst century Jewish sources.  </w:t>
      </w:r>
    </w:p>
    <w:p w14:paraId="78E09965" w14:textId="77777777" w:rsidR="00AA1903" w:rsidRPr="00E54204" w:rsidRDefault="00AA1903" w:rsidP="00ED18D8">
      <w:pPr>
        <w:spacing w:after="160"/>
        <w:ind w:firstLine="720"/>
        <w:rPr>
          <w:szCs w:val="20"/>
        </w:rPr>
      </w:pPr>
      <w:r w:rsidRPr="00E54204">
        <w:rPr>
          <w:szCs w:val="20"/>
        </w:rPr>
        <w:t>In summary, there is evidence that the Greeks also underscored the value of the voice of the gods for various reasons.  Some of the functions appear similar to the functions employed in rabbinic literature and other writings from antiquity: endorsing individuals and divine messages protruding from temples.  Nevertheless, a strong claim cannot be made here concerning their bearing on other literatures in this specific regard.  Some of the sources cited date to th</w:t>
      </w:r>
      <w:r w:rsidR="006C44D4" w:rsidRPr="00E54204">
        <w:rPr>
          <w:szCs w:val="20"/>
        </w:rPr>
        <w:t>e first couple of centuries CE.  I</w:t>
      </w:r>
      <w:r w:rsidRPr="00E54204">
        <w:rPr>
          <w:szCs w:val="20"/>
        </w:rPr>
        <w:t>n such case, it is possible that they may have been the influenced rather than the influencer.  That would require a more critical look at some specific cases from both Hellenistic and rabbinic sources.  Yet the similarities, as with the other works reviewed in this chapter, are probably not happenchance; a more precise understanding of their relation needs to be explored.</w:t>
      </w:r>
      <w:r w:rsidRPr="00E54204">
        <w:rPr>
          <w:szCs w:val="20"/>
          <w:vertAlign w:val="superscript"/>
        </w:rPr>
        <w:footnoteReference w:id="282"/>
      </w:r>
      <w:r w:rsidRPr="00E54204">
        <w:rPr>
          <w:szCs w:val="20"/>
        </w:rPr>
        <w:t xml:space="preserve">  </w:t>
      </w:r>
    </w:p>
    <w:p w14:paraId="5B69C0F5" w14:textId="77777777" w:rsidR="00AA1903" w:rsidRPr="00E54204" w:rsidRDefault="00F83D13" w:rsidP="00AA1903">
      <w:pPr>
        <w:spacing w:after="160"/>
        <w:rPr>
          <w:b/>
          <w:szCs w:val="20"/>
        </w:rPr>
      </w:pPr>
      <w:r w:rsidRPr="00E54204">
        <w:rPr>
          <w:b/>
          <w:szCs w:val="20"/>
        </w:rPr>
        <w:t>III.</w:t>
      </w:r>
      <w:r w:rsidRPr="00E54204">
        <w:rPr>
          <w:b/>
          <w:szCs w:val="20"/>
        </w:rPr>
        <w:tab/>
      </w:r>
      <w:r w:rsidR="00AA1903" w:rsidRPr="00E54204">
        <w:rPr>
          <w:b/>
          <w:szCs w:val="20"/>
        </w:rPr>
        <w:t>Conclusion</w:t>
      </w:r>
    </w:p>
    <w:p w14:paraId="031C6E38" w14:textId="77777777" w:rsidR="00AA1903" w:rsidRPr="00E54204" w:rsidRDefault="00AA1903" w:rsidP="00ED18D8">
      <w:pPr>
        <w:spacing w:after="160"/>
        <w:ind w:firstLine="720"/>
        <w:rPr>
          <w:szCs w:val="20"/>
        </w:rPr>
      </w:pPr>
      <w:r w:rsidRPr="00E54204">
        <w:rPr>
          <w:szCs w:val="20"/>
        </w:rPr>
        <w:t xml:space="preserve">Many sources and their possible relation to the </w:t>
      </w:r>
      <w:r w:rsidRPr="00E54204">
        <w:rPr>
          <w:i/>
          <w:szCs w:val="20"/>
        </w:rPr>
        <w:t xml:space="preserve">bat kol </w:t>
      </w:r>
      <w:r w:rsidRPr="00E54204">
        <w:rPr>
          <w:szCs w:val="20"/>
        </w:rPr>
        <w:t xml:space="preserve">have been reviewed herein.  The Biblical narrative provides striking similarities with the manner in which the </w:t>
      </w:r>
      <w:r w:rsidR="003B0E0A" w:rsidRPr="00E54204">
        <w:rPr>
          <w:i/>
          <w:szCs w:val="20"/>
        </w:rPr>
        <w:t>bat kol</w:t>
      </w:r>
      <w:r w:rsidRPr="00E54204">
        <w:rPr>
          <w:i/>
          <w:szCs w:val="20"/>
        </w:rPr>
        <w:t xml:space="preserve"> </w:t>
      </w:r>
      <w:r w:rsidRPr="00E54204">
        <w:rPr>
          <w:szCs w:val="20"/>
        </w:rPr>
        <w:t>is depicted in the Talmud.  Most noteworthy are the examples from the book of Daniel and the voice from heaven during Hagar and Ishmael’s wandering and Isaac’s binding.  Apocalyptic literature, considered to be an offspring of Biblical prophecy</w:t>
      </w:r>
      <w:r w:rsidR="00F077D3" w:rsidRPr="00E54204">
        <w:rPr>
          <w:szCs w:val="20"/>
        </w:rPr>
        <w:t xml:space="preserve"> by some</w:t>
      </w:r>
      <w:r w:rsidR="00FE74E0" w:rsidRPr="00E54204">
        <w:rPr>
          <w:szCs w:val="20"/>
        </w:rPr>
        <w:t xml:space="preserve"> scholars</w:t>
      </w:r>
      <w:r w:rsidRPr="00E54204">
        <w:rPr>
          <w:szCs w:val="20"/>
        </w:rPr>
        <w:t>,</w:t>
      </w:r>
      <w:r w:rsidR="00F077D3" w:rsidRPr="00E54204">
        <w:rPr>
          <w:rStyle w:val="FootnoteReference"/>
          <w:szCs w:val="20"/>
        </w:rPr>
        <w:footnoteReference w:id="283"/>
      </w:r>
      <w:r w:rsidRPr="00E54204">
        <w:rPr>
          <w:szCs w:val="20"/>
        </w:rPr>
        <w:t xml:space="preserve"> also make</w:t>
      </w:r>
      <w:r w:rsidR="006C44D4" w:rsidRPr="00E54204">
        <w:rPr>
          <w:szCs w:val="20"/>
        </w:rPr>
        <w:t>s use of heavenly voices</w:t>
      </w:r>
      <w:r w:rsidRPr="00E54204">
        <w:rPr>
          <w:szCs w:val="20"/>
        </w:rPr>
        <w:t xml:space="preserve"> to narrate heavenly activities</w:t>
      </w:r>
      <w:r w:rsidR="00FE74E0" w:rsidRPr="00E54204">
        <w:rPr>
          <w:szCs w:val="20"/>
        </w:rPr>
        <w:t>, such as Michael descending to receive the prayers of people and then offering up their virtues to God and other angelic activities related to humanity</w:t>
      </w:r>
      <w:r w:rsidRPr="00E54204">
        <w:rPr>
          <w:szCs w:val="20"/>
        </w:rPr>
        <w:t>.  As Otto Betz summarized, “The apocalyptic view of God’s voice is influenced on the one side by expectation of a new eschatological revelation and on the other by heightened awareness of the divine transcendence.”</w:t>
      </w:r>
      <w:r w:rsidRPr="00E54204">
        <w:rPr>
          <w:szCs w:val="20"/>
          <w:vertAlign w:val="superscript"/>
        </w:rPr>
        <w:footnoteReference w:id="284"/>
      </w:r>
      <w:r w:rsidRPr="00E54204">
        <w:rPr>
          <w:szCs w:val="20"/>
        </w:rPr>
        <w:t xml:space="preserve">  In my estimation, it is the stories from the Bible and apocalyptic literature from circa the Second Temple period that demonstrate the clearest correlations.</w:t>
      </w:r>
      <w:r w:rsidR="00FE74E0" w:rsidRPr="00E54204">
        <w:rPr>
          <w:szCs w:val="20"/>
        </w:rPr>
        <w:t xml:space="preserve">  This is due to several reasons.  In the </w:t>
      </w:r>
      <w:r w:rsidR="00511E8D" w:rsidRPr="00E54204">
        <w:rPr>
          <w:szCs w:val="20"/>
        </w:rPr>
        <w:t xml:space="preserve">Biblical </w:t>
      </w:r>
      <w:r w:rsidR="00FE74E0" w:rsidRPr="00E54204">
        <w:rPr>
          <w:szCs w:val="20"/>
        </w:rPr>
        <w:t>examples surveyed in this chapter the language describing the manifestation of the heavenly voices in both groups</w:t>
      </w:r>
      <w:r w:rsidR="00511E8D" w:rsidRPr="00E54204">
        <w:rPr>
          <w:szCs w:val="20"/>
        </w:rPr>
        <w:t xml:space="preserve"> of writings is quite similar</w:t>
      </w:r>
      <w:r w:rsidR="00FE74E0" w:rsidRPr="00E54204">
        <w:rPr>
          <w:szCs w:val="20"/>
        </w:rPr>
        <w:t>; from the verb describing its arrival to the heavenly location from where the voice is heard.</w:t>
      </w:r>
      <w:r w:rsidR="00511E8D" w:rsidRPr="00E54204">
        <w:rPr>
          <w:szCs w:val="20"/>
        </w:rPr>
        <w:t xml:space="preserve">  Moreover, words</w:t>
      </w:r>
      <w:r w:rsidR="00FE74E0" w:rsidRPr="00E54204">
        <w:rPr>
          <w:szCs w:val="20"/>
        </w:rPr>
        <w:t xml:space="preserve"> of judgment are proffered in both</w:t>
      </w:r>
      <w:r w:rsidR="00511E8D" w:rsidRPr="00E54204">
        <w:rPr>
          <w:szCs w:val="20"/>
        </w:rPr>
        <w:t>.</w:t>
      </w:r>
      <w:r w:rsidR="00FE74E0" w:rsidRPr="00E54204">
        <w:rPr>
          <w:szCs w:val="20"/>
        </w:rPr>
        <w:t xml:space="preserve"> </w:t>
      </w:r>
      <w:r w:rsidRPr="00E54204">
        <w:rPr>
          <w:szCs w:val="20"/>
        </w:rPr>
        <w:t xml:space="preserve"> </w:t>
      </w:r>
      <w:r w:rsidR="00511E8D" w:rsidRPr="00E54204">
        <w:rPr>
          <w:szCs w:val="20"/>
        </w:rPr>
        <w:t>Apocalyptic literature also includes different types of o</w:t>
      </w:r>
      <w:r w:rsidR="002D6933" w:rsidRPr="00E54204">
        <w:rPr>
          <w:szCs w:val="20"/>
        </w:rPr>
        <w:t>racles (e.g. woe and praise); such functions find correlation with</w:t>
      </w:r>
      <w:r w:rsidR="00511E8D" w:rsidRPr="00E54204">
        <w:rPr>
          <w:szCs w:val="20"/>
        </w:rPr>
        <w:t xml:space="preserve"> rabbinic stories</w:t>
      </w:r>
      <w:r w:rsidR="003F50B4" w:rsidRPr="00E54204">
        <w:rPr>
          <w:szCs w:val="20"/>
        </w:rPr>
        <w:t xml:space="preserve"> such as in instances of martyrdom or publicly endorsing the piety of an individual</w:t>
      </w:r>
      <w:r w:rsidR="00511E8D" w:rsidRPr="00E54204">
        <w:rPr>
          <w:szCs w:val="20"/>
        </w:rPr>
        <w:t xml:space="preserve">.  </w:t>
      </w:r>
      <w:r w:rsidRPr="00E54204">
        <w:rPr>
          <w:szCs w:val="20"/>
        </w:rPr>
        <w:t>Hellenist</w:t>
      </w:r>
      <w:r w:rsidR="00FE74E0" w:rsidRPr="00E54204">
        <w:rPr>
          <w:szCs w:val="20"/>
        </w:rPr>
        <w:t>ic sources also exhibit similar themes</w:t>
      </w:r>
      <w:r w:rsidR="009E5258" w:rsidRPr="00E54204">
        <w:rPr>
          <w:szCs w:val="20"/>
        </w:rPr>
        <w:t xml:space="preserve">: </w:t>
      </w:r>
      <w:r w:rsidR="00602DEC" w:rsidRPr="00E54204">
        <w:rPr>
          <w:szCs w:val="20"/>
        </w:rPr>
        <w:t>voices echoing from temples</w:t>
      </w:r>
      <w:r w:rsidRPr="00E54204">
        <w:rPr>
          <w:szCs w:val="20"/>
        </w:rPr>
        <w:t xml:space="preserve"> and endorsing or praising individuals.  </w:t>
      </w:r>
    </w:p>
    <w:p w14:paraId="74BD0D71" w14:textId="77777777" w:rsidR="00AA1903" w:rsidRPr="00E54204" w:rsidRDefault="00AA1903" w:rsidP="00ED18D8">
      <w:pPr>
        <w:spacing w:after="160"/>
        <w:ind w:firstLine="720"/>
        <w:rPr>
          <w:szCs w:val="20"/>
        </w:rPr>
      </w:pPr>
      <w:r w:rsidRPr="00E54204">
        <w:rPr>
          <w:szCs w:val="20"/>
        </w:rPr>
        <w:t>The mysterious voices of revelation therein could be conceived to have been appropriated by the rabbis as an agent of comfort and encouragement in the wake of the painful destruction of the Temple.  In other words, it may have been appealed to in order to assure the people that God was still involved in their everyday affairs.  In addition, the anonymity of the speaker protects against possible heresies that may be derived from this messenger.  In other words the rabbis may have attributed to this “voice” a less authoritative and generic label in order for it not to be automatically construed as the Holy Spirit or God’s very voice.  Hence, this may explain th</w:t>
      </w:r>
      <w:r w:rsidR="00F02247" w:rsidRPr="00E54204">
        <w:rPr>
          <w:szCs w:val="20"/>
        </w:rPr>
        <w:t>e reasoning behind the selection of</w:t>
      </w:r>
      <w:r w:rsidRPr="00E54204">
        <w:rPr>
          <w:szCs w:val="20"/>
        </w:rPr>
        <w:t xml:space="preserve"> the term </w:t>
      </w:r>
      <w:r w:rsidRPr="00E54204">
        <w:rPr>
          <w:i/>
          <w:szCs w:val="20"/>
        </w:rPr>
        <w:t>bat</w:t>
      </w:r>
      <w:r w:rsidRPr="00E54204">
        <w:rPr>
          <w:szCs w:val="20"/>
        </w:rPr>
        <w:t xml:space="preserve"> (lit. daughter); although the </w:t>
      </w:r>
      <w:r w:rsidRPr="00E54204">
        <w:rPr>
          <w:i/>
          <w:szCs w:val="20"/>
        </w:rPr>
        <w:t xml:space="preserve">bat kol </w:t>
      </w:r>
      <w:r w:rsidRPr="00E54204">
        <w:rPr>
          <w:szCs w:val="20"/>
        </w:rPr>
        <w:t xml:space="preserve">is sometimes used interchangeably with God and or the Holy Spirit.  In this fashion, it mimics the mystery of God’s theophanies in the Biblical time period when at times God’s messenger spoke in His very place and with His very authority.  The following chapter will explore discernable categories within the text of the Babylonian Talmud.     </w:t>
      </w:r>
    </w:p>
    <w:p w14:paraId="13B9A39D" w14:textId="77777777" w:rsidR="00ED18D8" w:rsidRPr="00E54204" w:rsidRDefault="00ED18D8" w:rsidP="00ED18D8">
      <w:pPr>
        <w:spacing w:after="160"/>
        <w:ind w:firstLine="720"/>
        <w:rPr>
          <w:szCs w:val="20"/>
        </w:rPr>
      </w:pPr>
    </w:p>
    <w:p w14:paraId="53C6764E" w14:textId="77777777" w:rsidR="009A412E" w:rsidRPr="00E54204" w:rsidRDefault="009A412E" w:rsidP="00F02247">
      <w:pPr>
        <w:spacing w:after="160"/>
        <w:rPr>
          <w:b/>
          <w:szCs w:val="20"/>
        </w:rPr>
      </w:pPr>
    </w:p>
    <w:p w14:paraId="7FB577FB" w14:textId="77777777" w:rsidR="00CB7194" w:rsidRPr="00E54204" w:rsidRDefault="00CB7194" w:rsidP="007E49E8">
      <w:pPr>
        <w:spacing w:after="160"/>
        <w:jc w:val="center"/>
        <w:rPr>
          <w:b/>
          <w:szCs w:val="20"/>
        </w:rPr>
      </w:pPr>
    </w:p>
    <w:p w14:paraId="6FC8DCBB" w14:textId="77777777" w:rsidR="007D4528" w:rsidRPr="00E54204" w:rsidRDefault="009F041B" w:rsidP="007E49E8">
      <w:pPr>
        <w:spacing w:after="160"/>
        <w:jc w:val="center"/>
        <w:rPr>
          <w:b/>
          <w:szCs w:val="20"/>
        </w:rPr>
      </w:pPr>
      <w:r w:rsidRPr="00E54204">
        <w:rPr>
          <w:b/>
          <w:szCs w:val="20"/>
        </w:rPr>
        <w:t>CATEGORIES</w:t>
      </w:r>
    </w:p>
    <w:p w14:paraId="07C8D837" w14:textId="77777777" w:rsidR="00ED18D8" w:rsidRPr="00E54204" w:rsidRDefault="00F83D13" w:rsidP="00ED18D8">
      <w:pPr>
        <w:spacing w:after="160"/>
        <w:rPr>
          <w:b/>
          <w:szCs w:val="20"/>
        </w:rPr>
      </w:pPr>
      <w:r w:rsidRPr="00E54204">
        <w:rPr>
          <w:b/>
          <w:szCs w:val="20"/>
        </w:rPr>
        <w:t>I.</w:t>
      </w:r>
      <w:r w:rsidRPr="00E54204">
        <w:rPr>
          <w:b/>
          <w:szCs w:val="20"/>
        </w:rPr>
        <w:tab/>
      </w:r>
      <w:r w:rsidR="00ED18D8" w:rsidRPr="00E54204">
        <w:rPr>
          <w:b/>
          <w:szCs w:val="20"/>
        </w:rPr>
        <w:t>Introduction</w:t>
      </w:r>
    </w:p>
    <w:p w14:paraId="3F1B6735" w14:textId="77777777" w:rsidR="004C7ACA" w:rsidRPr="00E54204" w:rsidRDefault="00ED18D8" w:rsidP="006E723D">
      <w:pPr>
        <w:spacing w:after="160"/>
        <w:ind w:firstLine="720"/>
        <w:rPr>
          <w:szCs w:val="20"/>
        </w:rPr>
      </w:pPr>
      <w:r w:rsidRPr="00E54204">
        <w:rPr>
          <w:szCs w:val="20"/>
        </w:rPr>
        <w:t xml:space="preserve">Let us now turn our attention specifically to Talmudic stories portraying the </w:t>
      </w:r>
      <w:r w:rsidRPr="00E54204">
        <w:rPr>
          <w:i/>
          <w:szCs w:val="20"/>
        </w:rPr>
        <w:t>bat kol</w:t>
      </w:r>
      <w:r w:rsidRPr="00E54204">
        <w:rPr>
          <w:szCs w:val="20"/>
        </w:rPr>
        <w:t>.</w:t>
      </w:r>
      <w:r w:rsidR="001A0A49" w:rsidRPr="00E54204">
        <w:rPr>
          <w:szCs w:val="20"/>
        </w:rPr>
        <w:t xml:space="preserve">  </w:t>
      </w:r>
      <w:r w:rsidRPr="00E54204">
        <w:rPr>
          <w:szCs w:val="20"/>
        </w:rPr>
        <w:t>Despite my efforts to produce neat categories in which to effectively locate each of the narratives, many stories exhibit various details which</w:t>
      </w:r>
      <w:r w:rsidR="005F7543" w:rsidRPr="00E54204">
        <w:rPr>
          <w:szCs w:val="20"/>
        </w:rPr>
        <w:t xml:space="preserve"> make it difficult to tag with one of my suggested labels</w:t>
      </w:r>
      <w:r w:rsidRPr="00E54204">
        <w:rPr>
          <w:szCs w:val="20"/>
        </w:rPr>
        <w:t>.  In such cases, I based my decision on what appears to be the more dominant purpose for the voice from heaven while pointing to its versatility.  Chief examples will be fleshed out so as to depict a discernable and recurring role for each type, including an analysis of its compositional structure, parallel versions if any, and other pertine</w:t>
      </w:r>
      <w:r w:rsidR="0058768B" w:rsidRPr="00E54204">
        <w:rPr>
          <w:szCs w:val="20"/>
        </w:rPr>
        <w:t>nt historical details.  The five</w:t>
      </w:r>
      <w:r w:rsidRPr="00E54204">
        <w:rPr>
          <w:szCs w:val="20"/>
        </w:rPr>
        <w:t xml:space="preserve"> general categories are therefore: 1) enterin</w:t>
      </w:r>
      <w:r w:rsidR="0058768B" w:rsidRPr="00E54204">
        <w:rPr>
          <w:szCs w:val="20"/>
        </w:rPr>
        <w:t>g the world to come, 2) praise towards individuals, 3) r</w:t>
      </w:r>
      <w:r w:rsidRPr="00E54204">
        <w:rPr>
          <w:szCs w:val="20"/>
        </w:rPr>
        <w:t>ebuke</w:t>
      </w:r>
      <w:r w:rsidR="0058768B" w:rsidRPr="00E54204">
        <w:rPr>
          <w:szCs w:val="20"/>
        </w:rPr>
        <w:t>/judgement to individuals, 4</w:t>
      </w:r>
      <w:r w:rsidRPr="00E54204">
        <w:rPr>
          <w:szCs w:val="20"/>
        </w:rPr>
        <w:t xml:space="preserve">) matters related to </w:t>
      </w:r>
      <w:r w:rsidR="00EF69C7" w:rsidRPr="00E54204">
        <w:rPr>
          <w:i/>
          <w:szCs w:val="20"/>
        </w:rPr>
        <w:t>Halac</w:t>
      </w:r>
      <w:r w:rsidRPr="00E54204">
        <w:rPr>
          <w:i/>
          <w:szCs w:val="20"/>
        </w:rPr>
        <w:t>ha</w:t>
      </w:r>
      <w:r w:rsidR="0058768B" w:rsidRPr="00E54204">
        <w:rPr>
          <w:szCs w:val="20"/>
        </w:rPr>
        <w:t>, and 5</w:t>
      </w:r>
      <w:r w:rsidRPr="00E54204">
        <w:rPr>
          <w:szCs w:val="20"/>
        </w:rPr>
        <w:t>) a miscellaneous category.</w:t>
      </w:r>
      <w:r w:rsidRPr="00E54204">
        <w:rPr>
          <w:szCs w:val="20"/>
          <w:vertAlign w:val="superscript"/>
        </w:rPr>
        <w:footnoteReference w:id="285"/>
      </w:r>
      <w:r w:rsidR="005F7543" w:rsidRPr="00E54204">
        <w:rPr>
          <w:szCs w:val="20"/>
        </w:rPr>
        <w:t xml:space="preserve">  </w:t>
      </w:r>
    </w:p>
    <w:p w14:paraId="1953430F" w14:textId="77777777" w:rsidR="00082007" w:rsidRPr="00E54204" w:rsidRDefault="004C7ACA" w:rsidP="004C7ACA">
      <w:pPr>
        <w:spacing w:after="160"/>
        <w:ind w:firstLine="720"/>
        <w:rPr>
          <w:szCs w:val="20"/>
        </w:rPr>
      </w:pPr>
      <w:r w:rsidRPr="00E54204">
        <w:rPr>
          <w:szCs w:val="20"/>
        </w:rPr>
        <w:t xml:space="preserve">Furthermore, there are </w:t>
      </w:r>
      <w:r w:rsidR="005F7543" w:rsidRPr="00E54204">
        <w:rPr>
          <w:szCs w:val="20"/>
        </w:rPr>
        <w:t>two general types of stories</w:t>
      </w:r>
      <w:r w:rsidRPr="00E54204">
        <w:rPr>
          <w:szCs w:val="20"/>
        </w:rPr>
        <w:t xml:space="preserve"> in regards to time</w:t>
      </w:r>
      <w:r w:rsidR="005F7543" w:rsidRPr="00E54204">
        <w:rPr>
          <w:szCs w:val="20"/>
        </w:rPr>
        <w:t>: those retrojected into the Biblical period</w:t>
      </w:r>
      <w:r w:rsidRPr="00E54204">
        <w:rPr>
          <w:szCs w:val="20"/>
        </w:rPr>
        <w:t xml:space="preserve"> and those situated</w:t>
      </w:r>
      <w:r w:rsidR="005F7543" w:rsidRPr="00E54204">
        <w:rPr>
          <w:szCs w:val="20"/>
        </w:rPr>
        <w:t xml:space="preserve"> in the times of the rabbis.</w:t>
      </w:r>
      <w:r w:rsidRPr="00E54204">
        <w:rPr>
          <w:szCs w:val="20"/>
        </w:rPr>
        <w:t xml:space="preserve">  In addition, various stories depict the </w:t>
      </w:r>
      <w:r w:rsidRPr="00E54204">
        <w:rPr>
          <w:i/>
          <w:szCs w:val="20"/>
        </w:rPr>
        <w:t>bat kol</w:t>
      </w:r>
      <w:r w:rsidRPr="00E54204">
        <w:rPr>
          <w:szCs w:val="20"/>
        </w:rPr>
        <w:t xml:space="preserve"> or narrator quoting Biblical verses.  </w:t>
      </w:r>
      <w:r w:rsidR="00FC2D00" w:rsidRPr="00E54204">
        <w:rPr>
          <w:szCs w:val="20"/>
        </w:rPr>
        <w:t>The examples provided in this c</w:t>
      </w:r>
      <w:r w:rsidRPr="00E54204">
        <w:rPr>
          <w:szCs w:val="20"/>
        </w:rPr>
        <w:t>hapter display several of</w:t>
      </w:r>
      <w:r w:rsidR="001A0A49" w:rsidRPr="00E54204">
        <w:rPr>
          <w:szCs w:val="20"/>
        </w:rPr>
        <w:t xml:space="preserve"> the</w:t>
      </w:r>
      <w:r w:rsidRPr="00E54204">
        <w:rPr>
          <w:szCs w:val="20"/>
        </w:rPr>
        <w:t xml:space="preserve"> aforementioned characteristics</w:t>
      </w:r>
      <w:r w:rsidR="00FC2D00" w:rsidRPr="00E54204">
        <w:rPr>
          <w:szCs w:val="20"/>
        </w:rPr>
        <w:t>.</w:t>
      </w:r>
      <w:r w:rsidR="00ED18D8" w:rsidRPr="00E54204">
        <w:rPr>
          <w:szCs w:val="20"/>
        </w:rPr>
        <w:t xml:space="preserve">  In ana</w:t>
      </w:r>
      <w:r w:rsidR="00FC2D00" w:rsidRPr="00E54204">
        <w:rPr>
          <w:szCs w:val="20"/>
        </w:rPr>
        <w:t>lyzing these stories I will signal</w:t>
      </w:r>
      <w:r w:rsidR="00ED18D8" w:rsidRPr="00E54204">
        <w:rPr>
          <w:szCs w:val="20"/>
        </w:rPr>
        <w:t xml:space="preserve"> peculiar features</w:t>
      </w:r>
      <w:r w:rsidR="00FC2D00" w:rsidRPr="00E54204">
        <w:rPr>
          <w:szCs w:val="20"/>
        </w:rPr>
        <w:t xml:space="preserve">, events/sayings, and </w:t>
      </w:r>
      <w:r w:rsidR="00ED18D8" w:rsidRPr="00E54204">
        <w:rPr>
          <w:szCs w:val="20"/>
        </w:rPr>
        <w:t>recurring themes in addition to exploring social and historical factors underlying the text.</w:t>
      </w:r>
      <w:r w:rsidR="00ED18D8" w:rsidRPr="00E54204">
        <w:rPr>
          <w:szCs w:val="20"/>
          <w:vertAlign w:val="superscript"/>
        </w:rPr>
        <w:footnoteReference w:id="286"/>
      </w:r>
      <w:r w:rsidR="00ED18D8" w:rsidRPr="00E54204">
        <w:rPr>
          <w:szCs w:val="20"/>
        </w:rPr>
        <w:t xml:space="preserve">  Lastly, I will conclude</w:t>
      </w:r>
      <w:r w:rsidR="00FC2D00" w:rsidRPr="00E54204">
        <w:rPr>
          <w:szCs w:val="20"/>
        </w:rPr>
        <w:t xml:space="preserve"> by</w:t>
      </w:r>
      <w:r w:rsidR="00ED18D8" w:rsidRPr="00E54204">
        <w:rPr>
          <w:szCs w:val="20"/>
        </w:rPr>
        <w:t xml:space="preserve"> summarizing </w:t>
      </w:r>
      <w:r w:rsidR="001A0A49" w:rsidRPr="00E54204">
        <w:rPr>
          <w:szCs w:val="20"/>
        </w:rPr>
        <w:t>the findings of each category</w:t>
      </w:r>
      <w:r w:rsidR="00ED18D8" w:rsidRPr="00E54204">
        <w:rPr>
          <w:szCs w:val="20"/>
        </w:rPr>
        <w:t>.</w:t>
      </w:r>
      <w:r w:rsidR="00410C65" w:rsidRPr="00E54204">
        <w:rPr>
          <w:szCs w:val="20"/>
        </w:rPr>
        <w:t xml:space="preserve">  </w:t>
      </w:r>
    </w:p>
    <w:p w14:paraId="2A405205" w14:textId="77777777" w:rsidR="00410C65" w:rsidRPr="00E54204" w:rsidRDefault="004C7ACA" w:rsidP="00253336">
      <w:pPr>
        <w:spacing w:after="160"/>
        <w:ind w:firstLine="720"/>
        <w:rPr>
          <w:szCs w:val="20"/>
        </w:rPr>
      </w:pPr>
      <w:r w:rsidRPr="00E54204">
        <w:rPr>
          <w:szCs w:val="20"/>
        </w:rPr>
        <w:t>Before, expositing the first category I would like to draw the reader’s attention to a table</w:t>
      </w:r>
      <w:r w:rsidR="00605657" w:rsidRPr="00E54204">
        <w:rPr>
          <w:szCs w:val="20"/>
        </w:rPr>
        <w:t xml:space="preserve"> (see Table 2</w:t>
      </w:r>
      <w:r w:rsidR="00F02247" w:rsidRPr="00E54204">
        <w:rPr>
          <w:szCs w:val="20"/>
        </w:rPr>
        <w:t>)</w:t>
      </w:r>
      <w:r w:rsidRPr="00E54204">
        <w:rPr>
          <w:szCs w:val="20"/>
        </w:rPr>
        <w:t xml:space="preserve"> displaying how I catalogue all the references to the </w:t>
      </w:r>
      <w:r w:rsidRPr="00E54204">
        <w:rPr>
          <w:i/>
          <w:szCs w:val="20"/>
        </w:rPr>
        <w:t>bat kol</w:t>
      </w:r>
      <w:r w:rsidRPr="00E54204">
        <w:rPr>
          <w:szCs w:val="20"/>
        </w:rPr>
        <w:t xml:space="preserve"> in the Babylonian Talmud</w:t>
      </w:r>
      <w:r w:rsidR="00337205" w:rsidRPr="00E54204">
        <w:rPr>
          <w:szCs w:val="20"/>
        </w:rPr>
        <w:t>.  Displayed are the categori</w:t>
      </w:r>
      <w:r w:rsidR="00595756" w:rsidRPr="00E54204">
        <w:rPr>
          <w:szCs w:val="20"/>
        </w:rPr>
        <w:t>es and references along with a concise description</w:t>
      </w:r>
      <w:r w:rsidR="00253336" w:rsidRPr="00E54204">
        <w:rPr>
          <w:szCs w:val="20"/>
        </w:rPr>
        <w:t>; repeated stories are joined together:</w:t>
      </w:r>
    </w:p>
    <w:p w14:paraId="00974CCE" w14:textId="77777777" w:rsidR="00230E4C" w:rsidRPr="00E54204" w:rsidRDefault="00605657" w:rsidP="00230E4C">
      <w:pPr>
        <w:spacing w:line="240" w:lineRule="auto"/>
      </w:pPr>
      <w:r w:rsidRPr="00E54204">
        <w:rPr>
          <w:b/>
        </w:rPr>
        <w:t>Table 2</w:t>
      </w:r>
      <w:r w:rsidR="00BB6AF1" w:rsidRPr="00E54204">
        <w:t>: D</w:t>
      </w:r>
      <w:r w:rsidR="00230E4C" w:rsidRPr="00E54204">
        <w:t xml:space="preserve">epicts categories of function along with </w:t>
      </w:r>
      <w:r w:rsidR="00BB6AF1" w:rsidRPr="00E54204">
        <w:t>reference and short description.</w:t>
      </w:r>
    </w:p>
    <w:tbl>
      <w:tblPr>
        <w:tblStyle w:val="TableGrid"/>
        <w:tblW w:w="8861" w:type="dxa"/>
        <w:tblLayout w:type="fixed"/>
        <w:tblLook w:val="04A0" w:firstRow="1" w:lastRow="0" w:firstColumn="1" w:lastColumn="0" w:noHBand="0" w:noVBand="1"/>
      </w:tblPr>
      <w:tblGrid>
        <w:gridCol w:w="1659"/>
        <w:gridCol w:w="1950"/>
        <w:gridCol w:w="1577"/>
        <w:gridCol w:w="1762"/>
        <w:gridCol w:w="1913"/>
      </w:tblGrid>
      <w:tr w:rsidR="004C3A03" w:rsidRPr="00E54204" w14:paraId="36BF4391" w14:textId="77777777" w:rsidTr="00CA2745">
        <w:trPr>
          <w:trHeight w:val="809"/>
        </w:trPr>
        <w:tc>
          <w:tcPr>
            <w:tcW w:w="1659" w:type="dxa"/>
          </w:tcPr>
          <w:p w14:paraId="476A3D26" w14:textId="77777777" w:rsidR="00410C65" w:rsidRPr="00E54204" w:rsidRDefault="005A644A" w:rsidP="004C3A03">
            <w:pPr>
              <w:spacing w:after="160"/>
              <w:jc w:val="center"/>
              <w:rPr>
                <w:b/>
                <w:sz w:val="20"/>
                <w:szCs w:val="20"/>
              </w:rPr>
            </w:pPr>
            <w:r w:rsidRPr="00E54204">
              <w:rPr>
                <w:b/>
                <w:sz w:val="20"/>
                <w:szCs w:val="20"/>
              </w:rPr>
              <w:t>W</w:t>
            </w:r>
            <w:r w:rsidR="00410C65" w:rsidRPr="00E54204">
              <w:rPr>
                <w:b/>
                <w:sz w:val="20"/>
                <w:szCs w:val="20"/>
              </w:rPr>
              <w:t>orld to come</w:t>
            </w:r>
          </w:p>
        </w:tc>
        <w:tc>
          <w:tcPr>
            <w:tcW w:w="1950" w:type="dxa"/>
          </w:tcPr>
          <w:p w14:paraId="51B8AB21" w14:textId="77777777" w:rsidR="00410C65" w:rsidRPr="00E54204" w:rsidRDefault="00082007" w:rsidP="004C3A03">
            <w:pPr>
              <w:spacing w:after="160"/>
              <w:jc w:val="center"/>
              <w:rPr>
                <w:b/>
                <w:sz w:val="20"/>
                <w:szCs w:val="20"/>
              </w:rPr>
            </w:pPr>
            <w:r w:rsidRPr="00E54204">
              <w:rPr>
                <w:b/>
                <w:sz w:val="20"/>
                <w:szCs w:val="20"/>
              </w:rPr>
              <w:t>Praise towards I</w:t>
            </w:r>
            <w:r w:rsidR="005A644A" w:rsidRPr="00E54204">
              <w:rPr>
                <w:b/>
                <w:sz w:val="20"/>
                <w:szCs w:val="20"/>
              </w:rPr>
              <w:t>ndividual</w:t>
            </w:r>
            <w:r w:rsidRPr="00E54204">
              <w:rPr>
                <w:b/>
                <w:sz w:val="20"/>
                <w:szCs w:val="20"/>
              </w:rPr>
              <w:t>s</w:t>
            </w:r>
          </w:p>
        </w:tc>
        <w:tc>
          <w:tcPr>
            <w:tcW w:w="1577" w:type="dxa"/>
          </w:tcPr>
          <w:p w14:paraId="3489EB81" w14:textId="77777777" w:rsidR="00410C65" w:rsidRPr="00E54204" w:rsidRDefault="00082007" w:rsidP="004C3A03">
            <w:pPr>
              <w:spacing w:after="160"/>
              <w:jc w:val="center"/>
              <w:rPr>
                <w:b/>
                <w:sz w:val="20"/>
                <w:szCs w:val="20"/>
              </w:rPr>
            </w:pPr>
            <w:r w:rsidRPr="00E54204">
              <w:rPr>
                <w:b/>
                <w:sz w:val="20"/>
                <w:szCs w:val="20"/>
              </w:rPr>
              <w:t>Stories of</w:t>
            </w:r>
            <w:r w:rsidR="00410C65" w:rsidRPr="00E54204">
              <w:rPr>
                <w:b/>
                <w:sz w:val="20"/>
                <w:szCs w:val="20"/>
              </w:rPr>
              <w:t xml:space="preserve"> rebuke/ judgment</w:t>
            </w:r>
          </w:p>
        </w:tc>
        <w:tc>
          <w:tcPr>
            <w:tcW w:w="1762" w:type="dxa"/>
          </w:tcPr>
          <w:p w14:paraId="2A1C7786" w14:textId="77777777" w:rsidR="00410C65" w:rsidRPr="00E54204" w:rsidRDefault="00082007" w:rsidP="004C3A03">
            <w:pPr>
              <w:spacing w:after="160"/>
              <w:jc w:val="center"/>
              <w:rPr>
                <w:b/>
                <w:sz w:val="20"/>
                <w:szCs w:val="20"/>
              </w:rPr>
            </w:pPr>
            <w:r w:rsidRPr="00E54204">
              <w:rPr>
                <w:b/>
                <w:sz w:val="20"/>
                <w:szCs w:val="20"/>
              </w:rPr>
              <w:t>(</w:t>
            </w:r>
            <w:r w:rsidR="00410C65" w:rsidRPr="00E54204">
              <w:rPr>
                <w:b/>
                <w:sz w:val="20"/>
                <w:szCs w:val="20"/>
              </w:rPr>
              <w:t>Related to</w:t>
            </w:r>
            <w:r w:rsidRPr="00E54204">
              <w:rPr>
                <w:b/>
                <w:sz w:val="20"/>
                <w:szCs w:val="20"/>
              </w:rPr>
              <w:t>)</w:t>
            </w:r>
            <w:r w:rsidR="00EF69C7" w:rsidRPr="00E54204">
              <w:rPr>
                <w:b/>
                <w:sz w:val="20"/>
                <w:szCs w:val="20"/>
              </w:rPr>
              <w:t xml:space="preserve"> Halac</w:t>
            </w:r>
            <w:r w:rsidR="00410C65" w:rsidRPr="00E54204">
              <w:rPr>
                <w:b/>
                <w:sz w:val="20"/>
                <w:szCs w:val="20"/>
              </w:rPr>
              <w:t>ha</w:t>
            </w:r>
          </w:p>
        </w:tc>
        <w:tc>
          <w:tcPr>
            <w:tcW w:w="1913" w:type="dxa"/>
          </w:tcPr>
          <w:p w14:paraId="21222A58" w14:textId="77777777" w:rsidR="00410C65" w:rsidRPr="00E54204" w:rsidRDefault="00595756" w:rsidP="00410A07">
            <w:pPr>
              <w:spacing w:after="160"/>
              <w:jc w:val="center"/>
              <w:rPr>
                <w:b/>
                <w:sz w:val="20"/>
                <w:szCs w:val="20"/>
              </w:rPr>
            </w:pPr>
            <w:r w:rsidRPr="00E54204">
              <w:rPr>
                <w:b/>
                <w:sz w:val="20"/>
                <w:szCs w:val="20"/>
              </w:rPr>
              <w:t>Miscellaneous</w:t>
            </w:r>
          </w:p>
        </w:tc>
      </w:tr>
      <w:tr w:rsidR="00230E4C" w:rsidRPr="00E54204" w14:paraId="65BA0E78" w14:textId="77777777" w:rsidTr="00CA2745">
        <w:trPr>
          <w:trHeight w:val="20"/>
        </w:trPr>
        <w:tc>
          <w:tcPr>
            <w:tcW w:w="1659" w:type="dxa"/>
          </w:tcPr>
          <w:p w14:paraId="628FE418" w14:textId="77777777" w:rsidR="00230E4C" w:rsidRPr="00E54204" w:rsidRDefault="00230E4C" w:rsidP="004C3A03">
            <w:pPr>
              <w:spacing w:after="160"/>
              <w:rPr>
                <w:b/>
                <w:sz w:val="22"/>
                <w:szCs w:val="20"/>
              </w:rPr>
            </w:pPr>
          </w:p>
        </w:tc>
        <w:tc>
          <w:tcPr>
            <w:tcW w:w="1950" w:type="dxa"/>
            <w:tcBorders>
              <w:top w:val="nil"/>
              <w:bottom w:val="nil"/>
            </w:tcBorders>
            <w:shd w:val="clear" w:color="auto" w:fill="auto"/>
          </w:tcPr>
          <w:p w14:paraId="452E656E" w14:textId="77777777" w:rsidR="00230E4C" w:rsidRPr="00E54204" w:rsidRDefault="00230E4C">
            <w:pPr>
              <w:spacing w:after="160"/>
              <w:rPr>
                <w:szCs w:val="20"/>
              </w:rPr>
            </w:pPr>
          </w:p>
        </w:tc>
        <w:tc>
          <w:tcPr>
            <w:tcW w:w="1577" w:type="dxa"/>
            <w:tcBorders>
              <w:top w:val="nil"/>
              <w:bottom w:val="nil"/>
            </w:tcBorders>
            <w:shd w:val="clear" w:color="auto" w:fill="auto"/>
          </w:tcPr>
          <w:p w14:paraId="1FF5F857" w14:textId="77777777" w:rsidR="00230E4C" w:rsidRPr="00E54204" w:rsidRDefault="00230E4C">
            <w:pPr>
              <w:spacing w:after="160"/>
              <w:rPr>
                <w:szCs w:val="20"/>
              </w:rPr>
            </w:pPr>
          </w:p>
        </w:tc>
        <w:tc>
          <w:tcPr>
            <w:tcW w:w="1762" w:type="dxa"/>
            <w:tcBorders>
              <w:top w:val="single" w:sz="4" w:space="0" w:color="auto"/>
              <w:bottom w:val="nil"/>
            </w:tcBorders>
            <w:shd w:val="clear" w:color="auto" w:fill="auto"/>
          </w:tcPr>
          <w:p w14:paraId="3A44F11B" w14:textId="77777777" w:rsidR="00230E4C" w:rsidRPr="00E54204" w:rsidRDefault="00230E4C">
            <w:pPr>
              <w:spacing w:after="160"/>
              <w:rPr>
                <w:szCs w:val="20"/>
              </w:rPr>
            </w:pPr>
          </w:p>
        </w:tc>
        <w:tc>
          <w:tcPr>
            <w:tcW w:w="1913" w:type="dxa"/>
            <w:tcBorders>
              <w:top w:val="single" w:sz="4" w:space="0" w:color="auto"/>
              <w:bottom w:val="nil"/>
            </w:tcBorders>
            <w:shd w:val="clear" w:color="auto" w:fill="auto"/>
          </w:tcPr>
          <w:p w14:paraId="01E267F0" w14:textId="77777777" w:rsidR="00230E4C" w:rsidRPr="00E54204" w:rsidRDefault="00230E4C">
            <w:pPr>
              <w:spacing w:after="160"/>
              <w:rPr>
                <w:szCs w:val="20"/>
              </w:rPr>
            </w:pPr>
          </w:p>
        </w:tc>
      </w:tr>
      <w:tr w:rsidR="00230E4C" w:rsidRPr="00E54204" w14:paraId="0EE5B7F3" w14:textId="77777777" w:rsidTr="00230E4C">
        <w:trPr>
          <w:trHeight w:val="3230"/>
        </w:trPr>
        <w:tc>
          <w:tcPr>
            <w:tcW w:w="1659" w:type="dxa"/>
          </w:tcPr>
          <w:p w14:paraId="2DC9F8D9" w14:textId="77777777" w:rsidR="00230E4C" w:rsidRPr="00E54204" w:rsidRDefault="00230E4C" w:rsidP="00C96438">
            <w:pPr>
              <w:rPr>
                <w:sz w:val="20"/>
              </w:rPr>
            </w:pPr>
            <w:r w:rsidRPr="00E54204">
              <w:rPr>
                <w:b/>
                <w:sz w:val="20"/>
              </w:rPr>
              <w:t>Ber. 61b</w:t>
            </w:r>
            <w:r w:rsidRPr="00E54204">
              <w:rPr>
                <w:sz w:val="20"/>
              </w:rPr>
              <w:t>-Akiva’s martyrdom.</w:t>
            </w:r>
          </w:p>
          <w:p w14:paraId="385C72DA" w14:textId="77777777" w:rsidR="00230E4C" w:rsidRPr="00E54204" w:rsidRDefault="00230E4C" w:rsidP="00C96438">
            <w:pPr>
              <w:rPr>
                <w:sz w:val="20"/>
              </w:rPr>
            </w:pPr>
          </w:p>
          <w:p w14:paraId="4DAEDCC0" w14:textId="77777777" w:rsidR="00230E4C" w:rsidRPr="00E54204" w:rsidRDefault="00230E4C" w:rsidP="00C96438">
            <w:pPr>
              <w:rPr>
                <w:sz w:val="20"/>
              </w:rPr>
            </w:pPr>
            <w:r w:rsidRPr="00E54204">
              <w:rPr>
                <w:b/>
                <w:sz w:val="20"/>
              </w:rPr>
              <w:t>Er. 54b</w:t>
            </w:r>
            <w:r w:rsidRPr="00E54204">
              <w:rPr>
                <w:sz w:val="20"/>
              </w:rPr>
              <w:t>-R. Preida offered four hundred extra years of life or life in the world to come.</w:t>
            </w:r>
          </w:p>
          <w:p w14:paraId="48579D7F" w14:textId="77777777" w:rsidR="00230E4C" w:rsidRPr="00E54204" w:rsidRDefault="00230E4C" w:rsidP="00C96438">
            <w:pPr>
              <w:rPr>
                <w:sz w:val="20"/>
              </w:rPr>
            </w:pPr>
          </w:p>
          <w:p w14:paraId="6441F29E" w14:textId="77777777" w:rsidR="00230E4C" w:rsidRPr="00E54204" w:rsidRDefault="00230E4C" w:rsidP="00C96438">
            <w:pPr>
              <w:rPr>
                <w:sz w:val="20"/>
              </w:rPr>
            </w:pPr>
            <w:r w:rsidRPr="00E54204">
              <w:rPr>
                <w:b/>
                <w:sz w:val="20"/>
              </w:rPr>
              <w:t>Ta. 29a</w:t>
            </w:r>
            <w:r w:rsidRPr="00E54204">
              <w:rPr>
                <w:sz w:val="20"/>
              </w:rPr>
              <w:t>-Roman officer inherits life in the world to come by saving Rabban Gamaliel.</w:t>
            </w:r>
          </w:p>
          <w:p w14:paraId="51057D4D" w14:textId="77777777" w:rsidR="00230E4C" w:rsidRPr="00E54204" w:rsidRDefault="00230E4C" w:rsidP="00C96438">
            <w:pPr>
              <w:rPr>
                <w:sz w:val="20"/>
              </w:rPr>
            </w:pPr>
          </w:p>
          <w:p w14:paraId="5AA4CE02" w14:textId="77777777" w:rsidR="00230E4C" w:rsidRPr="00E54204" w:rsidRDefault="00230E4C" w:rsidP="00C96438">
            <w:pPr>
              <w:rPr>
                <w:sz w:val="20"/>
              </w:rPr>
            </w:pPr>
            <w:r w:rsidRPr="00E54204">
              <w:rPr>
                <w:b/>
                <w:sz w:val="20"/>
                <w:highlight w:val="lightGray"/>
              </w:rPr>
              <w:t>M.K. 9a</w:t>
            </w:r>
            <w:r w:rsidRPr="00E54204">
              <w:rPr>
                <w:sz w:val="20"/>
              </w:rPr>
              <w:t>-Israel is prepared for life in the world to come.</w:t>
            </w:r>
          </w:p>
          <w:p w14:paraId="7F801729" w14:textId="77777777" w:rsidR="00230E4C" w:rsidRPr="00E54204" w:rsidRDefault="00230E4C" w:rsidP="00C96438">
            <w:pPr>
              <w:rPr>
                <w:sz w:val="20"/>
              </w:rPr>
            </w:pPr>
          </w:p>
          <w:p w14:paraId="70058A6F" w14:textId="77777777" w:rsidR="00230E4C" w:rsidRPr="00E54204" w:rsidRDefault="00230E4C" w:rsidP="00C96438">
            <w:pPr>
              <w:spacing w:after="100" w:afterAutospacing="1"/>
              <w:rPr>
                <w:sz w:val="20"/>
              </w:rPr>
            </w:pPr>
            <w:r w:rsidRPr="00E54204">
              <w:rPr>
                <w:b/>
                <w:sz w:val="20"/>
              </w:rPr>
              <w:t>Ket. 103b</w:t>
            </w:r>
            <w:r w:rsidRPr="00E54204">
              <w:rPr>
                <w:sz w:val="20"/>
              </w:rPr>
              <w:t>-Life in wtc at Rebbi’s death.</w:t>
            </w:r>
          </w:p>
          <w:p w14:paraId="1F9CBEFC" w14:textId="77777777" w:rsidR="00230E4C" w:rsidRDefault="00230E4C" w:rsidP="00C96438">
            <w:pPr>
              <w:rPr>
                <w:sz w:val="20"/>
              </w:rPr>
            </w:pPr>
            <w:r w:rsidRPr="00E54204">
              <w:rPr>
                <w:b/>
                <w:sz w:val="20"/>
              </w:rPr>
              <w:t>Ket. 104a</w:t>
            </w:r>
            <w:r w:rsidRPr="00E54204">
              <w:rPr>
                <w:sz w:val="20"/>
              </w:rPr>
              <w:t>-Rebbi will have a “resting place.”</w:t>
            </w:r>
          </w:p>
          <w:p w14:paraId="5B578A5C" w14:textId="77777777" w:rsidR="003148B2" w:rsidRPr="00E54204" w:rsidRDefault="003148B2" w:rsidP="00C96438">
            <w:pPr>
              <w:rPr>
                <w:sz w:val="20"/>
              </w:rPr>
            </w:pPr>
          </w:p>
          <w:p w14:paraId="4863C9D5" w14:textId="77777777" w:rsidR="00230E4C" w:rsidRPr="00E54204" w:rsidRDefault="00230E4C" w:rsidP="00C96438">
            <w:pPr>
              <w:rPr>
                <w:sz w:val="20"/>
              </w:rPr>
            </w:pPr>
            <w:r w:rsidRPr="00E54204">
              <w:rPr>
                <w:b/>
                <w:sz w:val="20"/>
              </w:rPr>
              <w:t>Git. 57b</w:t>
            </w:r>
            <w:r w:rsidRPr="00E54204">
              <w:rPr>
                <w:sz w:val="20"/>
              </w:rPr>
              <w:t>-Mother loses her seven sons.</w:t>
            </w:r>
          </w:p>
          <w:p w14:paraId="3742C520" w14:textId="77777777" w:rsidR="00230E4C" w:rsidRPr="00E54204" w:rsidRDefault="00230E4C" w:rsidP="00C96438">
            <w:pPr>
              <w:rPr>
                <w:sz w:val="20"/>
              </w:rPr>
            </w:pPr>
          </w:p>
          <w:p w14:paraId="179120D0" w14:textId="77777777" w:rsidR="00230E4C" w:rsidRPr="00E54204" w:rsidRDefault="00230E4C" w:rsidP="00C96438">
            <w:pPr>
              <w:rPr>
                <w:b/>
                <w:sz w:val="20"/>
              </w:rPr>
            </w:pPr>
            <w:r w:rsidRPr="00E54204">
              <w:rPr>
                <w:b/>
                <w:sz w:val="20"/>
              </w:rPr>
              <w:t>B.B. 74b-</w:t>
            </w:r>
            <w:r w:rsidRPr="00E54204">
              <w:rPr>
                <w:sz w:val="20"/>
              </w:rPr>
              <w:t xml:space="preserve"> Bat kol that a certain chest with precious stones in it is reserved for the righteous of the wtc.</w:t>
            </w:r>
          </w:p>
          <w:p w14:paraId="35A48A47" w14:textId="77777777" w:rsidR="00230E4C" w:rsidRPr="00E54204" w:rsidRDefault="00230E4C" w:rsidP="00C96438">
            <w:pPr>
              <w:rPr>
                <w:sz w:val="20"/>
              </w:rPr>
            </w:pPr>
          </w:p>
          <w:p w14:paraId="0459A0E9" w14:textId="77777777" w:rsidR="00230E4C" w:rsidRPr="00E54204" w:rsidRDefault="00230E4C" w:rsidP="00C96438">
            <w:pPr>
              <w:rPr>
                <w:sz w:val="20"/>
              </w:rPr>
            </w:pPr>
            <w:r w:rsidRPr="00E54204">
              <w:rPr>
                <w:b/>
                <w:sz w:val="20"/>
                <w:highlight w:val="lightGray"/>
              </w:rPr>
              <w:t>Sa. 104b</w:t>
            </w:r>
            <w:r w:rsidRPr="00E54204">
              <w:rPr>
                <w:sz w:val="20"/>
              </w:rPr>
              <w:t>-David defends Solomon’s right to enter the world to come.</w:t>
            </w:r>
          </w:p>
          <w:p w14:paraId="7D7EB952" w14:textId="77777777" w:rsidR="00395FB9" w:rsidRPr="00E54204" w:rsidRDefault="00395FB9" w:rsidP="00C96438">
            <w:pPr>
              <w:rPr>
                <w:sz w:val="20"/>
              </w:rPr>
            </w:pPr>
          </w:p>
          <w:p w14:paraId="01988537" w14:textId="77777777" w:rsidR="00230E4C" w:rsidRPr="00E54204" w:rsidRDefault="00230E4C" w:rsidP="00C96438">
            <w:pPr>
              <w:rPr>
                <w:sz w:val="20"/>
              </w:rPr>
            </w:pPr>
            <w:r w:rsidRPr="00E54204">
              <w:rPr>
                <w:b/>
                <w:sz w:val="20"/>
              </w:rPr>
              <w:t>A.Z. 10b</w:t>
            </w:r>
            <w:r w:rsidRPr="00E54204">
              <w:rPr>
                <w:sz w:val="20"/>
              </w:rPr>
              <w:t>-Roman officer, Ketiah b. Shallum.</w:t>
            </w:r>
          </w:p>
          <w:p w14:paraId="533B3D5C" w14:textId="77777777" w:rsidR="00230E4C" w:rsidRPr="00E54204" w:rsidRDefault="00230E4C" w:rsidP="00C96438">
            <w:pPr>
              <w:rPr>
                <w:sz w:val="20"/>
              </w:rPr>
            </w:pPr>
          </w:p>
          <w:p w14:paraId="22ADDCF9" w14:textId="77777777" w:rsidR="00230E4C" w:rsidRPr="00E54204" w:rsidRDefault="00230E4C" w:rsidP="00C96438">
            <w:pPr>
              <w:rPr>
                <w:sz w:val="20"/>
              </w:rPr>
            </w:pPr>
            <w:r w:rsidRPr="00E54204">
              <w:rPr>
                <w:b/>
                <w:sz w:val="20"/>
              </w:rPr>
              <w:t>A.Z. 17a</w:t>
            </w:r>
            <w:r w:rsidRPr="00E54204">
              <w:rPr>
                <w:sz w:val="20"/>
              </w:rPr>
              <w:t>-Sinner, Elezar b. Durdia, is accepted upon repenting before his death.</w:t>
            </w:r>
          </w:p>
          <w:p w14:paraId="030306A4" w14:textId="77777777" w:rsidR="00230E4C" w:rsidRPr="00E54204" w:rsidRDefault="00230E4C" w:rsidP="00C96438">
            <w:pPr>
              <w:rPr>
                <w:sz w:val="20"/>
              </w:rPr>
            </w:pPr>
          </w:p>
          <w:p w14:paraId="26226E50" w14:textId="77777777" w:rsidR="00230E4C" w:rsidRPr="00E54204" w:rsidRDefault="00230E4C" w:rsidP="00C96438">
            <w:pPr>
              <w:rPr>
                <w:sz w:val="20"/>
              </w:rPr>
            </w:pPr>
            <w:r w:rsidRPr="00E54204">
              <w:rPr>
                <w:b/>
                <w:sz w:val="20"/>
              </w:rPr>
              <w:t>A.Z. 18a</w:t>
            </w:r>
            <w:r w:rsidRPr="00E54204">
              <w:rPr>
                <w:sz w:val="20"/>
              </w:rPr>
              <w:t>-Chanina b. Teradyon and his executioner enter world to come.</w:t>
            </w:r>
          </w:p>
          <w:p w14:paraId="11EEB767" w14:textId="77777777" w:rsidR="00230E4C" w:rsidRPr="00E54204" w:rsidRDefault="00230E4C" w:rsidP="00C96438">
            <w:pPr>
              <w:rPr>
                <w:sz w:val="20"/>
              </w:rPr>
            </w:pPr>
          </w:p>
          <w:p w14:paraId="0DFEA7B6" w14:textId="77777777" w:rsidR="00230E4C" w:rsidRPr="00E54204" w:rsidRDefault="00230E4C" w:rsidP="00C96438">
            <w:pPr>
              <w:rPr>
                <w:sz w:val="20"/>
              </w:rPr>
            </w:pPr>
          </w:p>
          <w:p w14:paraId="7D74BAEB" w14:textId="77777777" w:rsidR="00230E4C" w:rsidRPr="00E54204" w:rsidRDefault="00230E4C" w:rsidP="00C96438">
            <w:pPr>
              <w:rPr>
                <w:sz w:val="20"/>
              </w:rPr>
            </w:pPr>
          </w:p>
          <w:p w14:paraId="0233C65B" w14:textId="77777777" w:rsidR="00230E4C" w:rsidRPr="00E54204" w:rsidRDefault="00230E4C" w:rsidP="00C96438">
            <w:pPr>
              <w:rPr>
                <w:sz w:val="20"/>
              </w:rPr>
            </w:pPr>
          </w:p>
          <w:p w14:paraId="174D43A3" w14:textId="77777777" w:rsidR="00230E4C" w:rsidRPr="00E54204" w:rsidRDefault="00230E4C" w:rsidP="00C96438">
            <w:pPr>
              <w:spacing w:after="100" w:afterAutospacing="1"/>
              <w:rPr>
                <w:sz w:val="20"/>
              </w:rPr>
            </w:pPr>
          </w:p>
        </w:tc>
        <w:tc>
          <w:tcPr>
            <w:tcW w:w="1950" w:type="dxa"/>
          </w:tcPr>
          <w:p w14:paraId="0A288F00" w14:textId="77777777" w:rsidR="00230E4C" w:rsidRPr="00E54204" w:rsidRDefault="00230E4C" w:rsidP="00C96438">
            <w:pPr>
              <w:rPr>
                <w:sz w:val="20"/>
              </w:rPr>
            </w:pPr>
            <w:r w:rsidRPr="00E54204">
              <w:rPr>
                <w:b/>
                <w:sz w:val="20"/>
                <w:highlight w:val="lightGray"/>
              </w:rPr>
              <w:t>Ber.12b</w:t>
            </w:r>
            <w:r w:rsidRPr="00E54204">
              <w:rPr>
                <w:sz w:val="20"/>
              </w:rPr>
              <w:t>-Saul affirmed as chosen of the LORD.</w:t>
            </w:r>
          </w:p>
          <w:p w14:paraId="5102A1C1" w14:textId="77777777" w:rsidR="00230E4C" w:rsidRPr="00E54204" w:rsidRDefault="00230E4C" w:rsidP="00C96438">
            <w:pPr>
              <w:rPr>
                <w:sz w:val="20"/>
              </w:rPr>
            </w:pPr>
          </w:p>
          <w:p w14:paraId="6D045023" w14:textId="77777777" w:rsidR="00230E4C" w:rsidRPr="00E54204" w:rsidRDefault="00230E4C" w:rsidP="00C96438">
            <w:pPr>
              <w:rPr>
                <w:sz w:val="20"/>
              </w:rPr>
            </w:pPr>
            <w:r w:rsidRPr="00E54204">
              <w:rPr>
                <w:b/>
                <w:sz w:val="20"/>
              </w:rPr>
              <w:t>Ber. 17b/Ta. 24b/Chl. 86a</w:t>
            </w:r>
            <w:r w:rsidRPr="00E54204">
              <w:rPr>
                <w:sz w:val="20"/>
              </w:rPr>
              <w:t>- Hanina b. Dosa endorsed.</w:t>
            </w:r>
          </w:p>
          <w:p w14:paraId="5983458D" w14:textId="77777777" w:rsidR="00230E4C" w:rsidRPr="00E54204" w:rsidRDefault="00230E4C" w:rsidP="00C96438">
            <w:pPr>
              <w:rPr>
                <w:sz w:val="20"/>
              </w:rPr>
            </w:pPr>
          </w:p>
          <w:p w14:paraId="1C100F5C" w14:textId="77777777" w:rsidR="00230E4C" w:rsidRPr="00E54204" w:rsidRDefault="00230E4C" w:rsidP="00C96438">
            <w:pPr>
              <w:rPr>
                <w:sz w:val="20"/>
              </w:rPr>
            </w:pPr>
            <w:r w:rsidRPr="00E54204">
              <w:rPr>
                <w:b/>
                <w:sz w:val="20"/>
                <w:highlight w:val="lightGray"/>
              </w:rPr>
              <w:t>Sh.14b/Er. 21b</w:t>
            </w:r>
            <w:r w:rsidRPr="00E54204">
              <w:rPr>
                <w:sz w:val="20"/>
              </w:rPr>
              <w:t>-Solomon introduces washing of hands.</w:t>
            </w:r>
          </w:p>
          <w:p w14:paraId="2F2A0DCC" w14:textId="77777777" w:rsidR="00230E4C" w:rsidRPr="00E54204" w:rsidRDefault="00230E4C" w:rsidP="00C96438">
            <w:pPr>
              <w:rPr>
                <w:sz w:val="20"/>
              </w:rPr>
            </w:pPr>
          </w:p>
          <w:p w14:paraId="7B60089F" w14:textId="77777777" w:rsidR="00230E4C" w:rsidRPr="00E54204" w:rsidRDefault="00230E4C" w:rsidP="00C96438">
            <w:pPr>
              <w:rPr>
                <w:sz w:val="20"/>
              </w:rPr>
            </w:pPr>
            <w:r w:rsidRPr="00E54204">
              <w:rPr>
                <w:b/>
                <w:sz w:val="20"/>
                <w:highlight w:val="lightGray"/>
              </w:rPr>
              <w:t>R.H. 21b</w:t>
            </w:r>
            <w:r w:rsidRPr="00E54204">
              <w:rPr>
                <w:sz w:val="20"/>
              </w:rPr>
              <w:t>-Moses unique as a prophet.</w:t>
            </w:r>
          </w:p>
          <w:p w14:paraId="2E37C0D6" w14:textId="77777777" w:rsidR="00230E4C" w:rsidRPr="00E54204" w:rsidRDefault="00230E4C" w:rsidP="00C96438">
            <w:pPr>
              <w:rPr>
                <w:sz w:val="20"/>
              </w:rPr>
            </w:pPr>
          </w:p>
          <w:p w14:paraId="2BED9BFF" w14:textId="77777777" w:rsidR="00230E4C" w:rsidRPr="00E54204" w:rsidRDefault="00230E4C" w:rsidP="00C96438">
            <w:pPr>
              <w:rPr>
                <w:sz w:val="20"/>
              </w:rPr>
            </w:pPr>
            <w:r w:rsidRPr="00E54204">
              <w:rPr>
                <w:b/>
                <w:sz w:val="20"/>
              </w:rPr>
              <w:t>Ta. 21b</w:t>
            </w:r>
            <w:r w:rsidRPr="00E54204">
              <w:rPr>
                <w:sz w:val="20"/>
              </w:rPr>
              <w:t>-Aram. Abba the surgeon.</w:t>
            </w:r>
          </w:p>
          <w:p w14:paraId="55865FB3" w14:textId="77777777" w:rsidR="00230E4C" w:rsidRPr="00E54204" w:rsidRDefault="00230E4C" w:rsidP="00C96438">
            <w:pPr>
              <w:rPr>
                <w:sz w:val="20"/>
              </w:rPr>
            </w:pPr>
          </w:p>
          <w:p w14:paraId="1F123C9B" w14:textId="77777777" w:rsidR="00230E4C" w:rsidRPr="00E54204" w:rsidRDefault="00230E4C" w:rsidP="00C96438">
            <w:pPr>
              <w:rPr>
                <w:sz w:val="20"/>
              </w:rPr>
            </w:pPr>
            <w:r w:rsidRPr="00E54204">
              <w:rPr>
                <w:b/>
                <w:sz w:val="20"/>
              </w:rPr>
              <w:t>Ta. 25b</w:t>
            </w:r>
            <w:r w:rsidRPr="00E54204">
              <w:rPr>
                <w:sz w:val="20"/>
              </w:rPr>
              <w:t>-R. Akiva answered for rain.</w:t>
            </w:r>
          </w:p>
          <w:p w14:paraId="19ABD356" w14:textId="77777777" w:rsidR="00230E4C" w:rsidRPr="00E54204" w:rsidRDefault="00230E4C" w:rsidP="00C96438">
            <w:pPr>
              <w:rPr>
                <w:sz w:val="20"/>
              </w:rPr>
            </w:pPr>
          </w:p>
          <w:p w14:paraId="6FD75997" w14:textId="77777777" w:rsidR="00230E4C" w:rsidRPr="00E54204" w:rsidRDefault="00230E4C" w:rsidP="00C96438">
            <w:pPr>
              <w:rPr>
                <w:sz w:val="20"/>
              </w:rPr>
            </w:pPr>
            <w:r w:rsidRPr="00E54204">
              <w:rPr>
                <w:b/>
                <w:sz w:val="20"/>
                <w:highlight w:val="lightGray"/>
              </w:rPr>
              <w:t>M.K. 16b</w:t>
            </w:r>
            <w:r w:rsidRPr="00E54204">
              <w:rPr>
                <w:sz w:val="20"/>
              </w:rPr>
              <w:t>-David was righteous except for one thing.</w:t>
            </w:r>
          </w:p>
          <w:p w14:paraId="3394DD68" w14:textId="77777777" w:rsidR="00C96438" w:rsidRPr="00E54204" w:rsidRDefault="00C96438" w:rsidP="00C96438">
            <w:pPr>
              <w:rPr>
                <w:b/>
                <w:sz w:val="20"/>
              </w:rPr>
            </w:pPr>
          </w:p>
          <w:p w14:paraId="70FEB9D1" w14:textId="77777777" w:rsidR="00230E4C" w:rsidRPr="00E54204" w:rsidRDefault="00230E4C" w:rsidP="00C96438">
            <w:pPr>
              <w:rPr>
                <w:sz w:val="20"/>
              </w:rPr>
            </w:pPr>
            <w:r w:rsidRPr="00E54204">
              <w:rPr>
                <w:b/>
                <w:sz w:val="20"/>
                <w:highlight w:val="lightGray"/>
              </w:rPr>
              <w:t>So. 10b</w:t>
            </w:r>
            <w:r w:rsidRPr="00E54204">
              <w:rPr>
                <w:sz w:val="20"/>
              </w:rPr>
              <w:t>-Judah’s merit in confessing his failing before Tamar.</w:t>
            </w:r>
          </w:p>
          <w:p w14:paraId="772B7B5C" w14:textId="77777777" w:rsidR="00230E4C" w:rsidRPr="00E54204" w:rsidRDefault="00230E4C" w:rsidP="00C96438">
            <w:pPr>
              <w:rPr>
                <w:sz w:val="20"/>
              </w:rPr>
            </w:pPr>
            <w:r w:rsidRPr="00E54204">
              <w:rPr>
                <w:b/>
                <w:sz w:val="20"/>
                <w:highlight w:val="lightGray"/>
              </w:rPr>
              <w:t>So. 13b</w:t>
            </w:r>
            <w:r w:rsidRPr="00E54204">
              <w:rPr>
                <w:sz w:val="20"/>
              </w:rPr>
              <w:t>-Moses lauded at his death.</w:t>
            </w:r>
          </w:p>
          <w:p w14:paraId="5A28831D" w14:textId="77777777" w:rsidR="00230E4C" w:rsidRPr="00E54204" w:rsidRDefault="00230E4C" w:rsidP="00C96438">
            <w:pPr>
              <w:rPr>
                <w:sz w:val="20"/>
              </w:rPr>
            </w:pPr>
          </w:p>
          <w:p w14:paraId="5F3AD1C4" w14:textId="77777777" w:rsidR="00230E4C" w:rsidRPr="00E54204" w:rsidRDefault="00230E4C" w:rsidP="00C96438">
            <w:pPr>
              <w:rPr>
                <w:sz w:val="20"/>
              </w:rPr>
            </w:pPr>
            <w:r w:rsidRPr="00E54204">
              <w:rPr>
                <w:b/>
                <w:sz w:val="20"/>
              </w:rPr>
              <w:t>So. 48b/Sa. 11a</w:t>
            </w:r>
            <w:r w:rsidRPr="00E54204">
              <w:rPr>
                <w:sz w:val="20"/>
              </w:rPr>
              <w:t xml:space="preserve">-Hillel/Samuel the Small worthy of </w:t>
            </w:r>
            <w:r w:rsidRPr="00E54204">
              <w:rPr>
                <w:i/>
                <w:sz w:val="20"/>
              </w:rPr>
              <w:t>Shechinah</w:t>
            </w:r>
            <w:r w:rsidRPr="00E54204">
              <w:rPr>
                <w:sz w:val="20"/>
              </w:rPr>
              <w:t>.</w:t>
            </w:r>
          </w:p>
          <w:p w14:paraId="6E8E2B0F" w14:textId="77777777" w:rsidR="00230E4C" w:rsidRPr="00E54204" w:rsidRDefault="00230E4C" w:rsidP="00C96438">
            <w:pPr>
              <w:rPr>
                <w:sz w:val="20"/>
              </w:rPr>
            </w:pPr>
          </w:p>
          <w:p w14:paraId="5F16DD00" w14:textId="77777777" w:rsidR="00230E4C" w:rsidRPr="00E54204" w:rsidRDefault="00230E4C" w:rsidP="00C96438">
            <w:pPr>
              <w:rPr>
                <w:sz w:val="20"/>
              </w:rPr>
            </w:pPr>
            <w:r w:rsidRPr="00E54204">
              <w:rPr>
                <w:b/>
                <w:sz w:val="20"/>
              </w:rPr>
              <w:t>B.M. 85a</w:t>
            </w:r>
            <w:r w:rsidRPr="00E54204">
              <w:rPr>
                <w:sz w:val="20"/>
              </w:rPr>
              <w:t>-R. Elazar buried w/ his father due to the discomfort he experienced in life.</w:t>
            </w:r>
          </w:p>
          <w:p w14:paraId="0B294143" w14:textId="77777777" w:rsidR="00230E4C" w:rsidRPr="00E54204" w:rsidRDefault="00230E4C" w:rsidP="00C96438">
            <w:pPr>
              <w:rPr>
                <w:sz w:val="20"/>
              </w:rPr>
            </w:pPr>
          </w:p>
          <w:p w14:paraId="48B96F45" w14:textId="77777777" w:rsidR="00230E4C" w:rsidRPr="00E54204" w:rsidRDefault="00230E4C" w:rsidP="00C96438">
            <w:pPr>
              <w:rPr>
                <w:sz w:val="20"/>
              </w:rPr>
            </w:pPr>
            <w:r w:rsidRPr="00E54204">
              <w:rPr>
                <w:b/>
                <w:sz w:val="20"/>
              </w:rPr>
              <w:t>B.M. 86a</w:t>
            </w:r>
            <w:r w:rsidRPr="00E54204">
              <w:rPr>
                <w:sz w:val="20"/>
              </w:rPr>
              <w:t>-R. bar Nachmani dies with the word “pure.”</w:t>
            </w:r>
          </w:p>
          <w:p w14:paraId="0CEE924C" w14:textId="77777777" w:rsidR="00230E4C" w:rsidRPr="00E54204" w:rsidRDefault="00230E4C" w:rsidP="00C96438">
            <w:pPr>
              <w:rPr>
                <w:sz w:val="20"/>
              </w:rPr>
            </w:pPr>
          </w:p>
          <w:p w14:paraId="376F1420" w14:textId="77777777" w:rsidR="00230E4C" w:rsidRPr="00E54204" w:rsidRDefault="00230E4C" w:rsidP="00C96438">
            <w:pPr>
              <w:rPr>
                <w:sz w:val="20"/>
              </w:rPr>
            </w:pPr>
            <w:r w:rsidRPr="00E54204">
              <w:rPr>
                <w:b/>
                <w:sz w:val="20"/>
                <w:highlight w:val="lightGray"/>
              </w:rPr>
              <w:t>Sa. 39b</w:t>
            </w:r>
            <w:r w:rsidRPr="00E54204">
              <w:rPr>
                <w:sz w:val="20"/>
              </w:rPr>
              <w:t>-Ovadiahu feared the LORD.</w:t>
            </w:r>
          </w:p>
          <w:p w14:paraId="3B63D10A" w14:textId="77777777" w:rsidR="00230E4C" w:rsidRPr="00E54204" w:rsidRDefault="00230E4C" w:rsidP="00C96438">
            <w:pPr>
              <w:rPr>
                <w:sz w:val="20"/>
              </w:rPr>
            </w:pPr>
          </w:p>
          <w:p w14:paraId="7F57360F" w14:textId="77777777" w:rsidR="00230E4C" w:rsidRPr="00E54204" w:rsidRDefault="00230E4C" w:rsidP="00C96438">
            <w:pPr>
              <w:rPr>
                <w:sz w:val="20"/>
              </w:rPr>
            </w:pPr>
          </w:p>
          <w:p w14:paraId="4FC1DDF3" w14:textId="77777777" w:rsidR="00230E4C" w:rsidRPr="00E54204" w:rsidRDefault="00230E4C" w:rsidP="00C96438">
            <w:pPr>
              <w:rPr>
                <w:sz w:val="20"/>
              </w:rPr>
            </w:pPr>
          </w:p>
        </w:tc>
        <w:tc>
          <w:tcPr>
            <w:tcW w:w="1577" w:type="dxa"/>
          </w:tcPr>
          <w:p w14:paraId="5B6CA0E5" w14:textId="77777777" w:rsidR="00230E4C" w:rsidRPr="00E54204" w:rsidRDefault="00230E4C" w:rsidP="00C96438">
            <w:pPr>
              <w:rPr>
                <w:sz w:val="20"/>
              </w:rPr>
            </w:pPr>
            <w:r w:rsidRPr="00E54204">
              <w:rPr>
                <w:b/>
                <w:sz w:val="20"/>
              </w:rPr>
              <w:t>Ber. 3a</w:t>
            </w:r>
            <w:r w:rsidRPr="00E54204">
              <w:rPr>
                <w:sz w:val="20"/>
              </w:rPr>
              <w:t>-Temple destroyed because the sins of the people.</w:t>
            </w:r>
          </w:p>
          <w:p w14:paraId="7165676D" w14:textId="77777777" w:rsidR="00230E4C" w:rsidRPr="00E54204" w:rsidRDefault="00230E4C" w:rsidP="00C96438">
            <w:pPr>
              <w:rPr>
                <w:b/>
                <w:sz w:val="20"/>
              </w:rPr>
            </w:pPr>
          </w:p>
          <w:p w14:paraId="5A3DB290" w14:textId="77777777" w:rsidR="00230E4C" w:rsidRPr="00E54204" w:rsidRDefault="00230E4C" w:rsidP="00C96438">
            <w:pPr>
              <w:rPr>
                <w:sz w:val="20"/>
              </w:rPr>
            </w:pPr>
            <w:r w:rsidRPr="00E54204">
              <w:rPr>
                <w:b/>
                <w:sz w:val="20"/>
              </w:rPr>
              <w:t>Sh.33b</w:t>
            </w:r>
            <w:r w:rsidRPr="00E54204">
              <w:rPr>
                <w:sz w:val="20"/>
              </w:rPr>
              <w:t>-Simeon and Elazar sentenced to hide in a cave for 12 years.</w:t>
            </w:r>
          </w:p>
          <w:p w14:paraId="0BF822CB" w14:textId="77777777" w:rsidR="00230E4C" w:rsidRPr="00E54204" w:rsidRDefault="00230E4C" w:rsidP="00C96438">
            <w:pPr>
              <w:rPr>
                <w:sz w:val="20"/>
              </w:rPr>
            </w:pPr>
          </w:p>
          <w:p w14:paraId="495B8F7A" w14:textId="77777777" w:rsidR="00230E4C" w:rsidRPr="00E54204" w:rsidRDefault="00230E4C" w:rsidP="00C96438">
            <w:pPr>
              <w:rPr>
                <w:sz w:val="20"/>
              </w:rPr>
            </w:pPr>
            <w:r w:rsidRPr="00E54204">
              <w:rPr>
                <w:b/>
                <w:sz w:val="20"/>
                <w:highlight w:val="lightGray"/>
              </w:rPr>
              <w:t>Sh. 56b</w:t>
            </w:r>
            <w:r w:rsidRPr="00E54204">
              <w:rPr>
                <w:sz w:val="20"/>
              </w:rPr>
              <w:t>-Mephiboseth rebuked.</w:t>
            </w:r>
          </w:p>
          <w:p w14:paraId="589C0AF8" w14:textId="77777777" w:rsidR="00230E4C" w:rsidRPr="00E54204" w:rsidRDefault="00230E4C" w:rsidP="00C96438">
            <w:pPr>
              <w:rPr>
                <w:sz w:val="20"/>
              </w:rPr>
            </w:pPr>
          </w:p>
          <w:p w14:paraId="755DA927" w14:textId="77777777" w:rsidR="00230E4C" w:rsidRPr="00E54204" w:rsidRDefault="00230E4C" w:rsidP="00C96438">
            <w:pPr>
              <w:rPr>
                <w:sz w:val="20"/>
              </w:rPr>
            </w:pPr>
            <w:r w:rsidRPr="00E54204">
              <w:rPr>
                <w:b/>
                <w:sz w:val="20"/>
                <w:highlight w:val="lightGray"/>
              </w:rPr>
              <w:t>Sh. 149b</w:t>
            </w:r>
            <w:r w:rsidRPr="00E54204">
              <w:rPr>
                <w:sz w:val="20"/>
              </w:rPr>
              <w:t>- Neb. in Gehinom (Hell).</w:t>
            </w:r>
          </w:p>
          <w:p w14:paraId="252F2DF0" w14:textId="77777777" w:rsidR="00230E4C" w:rsidRPr="00E54204" w:rsidRDefault="00230E4C" w:rsidP="00C96438">
            <w:pPr>
              <w:rPr>
                <w:sz w:val="20"/>
              </w:rPr>
            </w:pPr>
          </w:p>
          <w:p w14:paraId="1E0211E7" w14:textId="77777777" w:rsidR="00230E4C" w:rsidRPr="00E54204" w:rsidRDefault="00230E4C" w:rsidP="00C96438">
            <w:pPr>
              <w:rPr>
                <w:sz w:val="20"/>
              </w:rPr>
            </w:pPr>
            <w:r w:rsidRPr="00E54204">
              <w:rPr>
                <w:b/>
                <w:sz w:val="20"/>
                <w:highlight w:val="lightGray"/>
              </w:rPr>
              <w:t>Pe. 94a/Chag. 13a</w:t>
            </w:r>
            <w:r w:rsidRPr="00E54204">
              <w:rPr>
                <w:sz w:val="20"/>
              </w:rPr>
              <w:t>- Neb. Rebuked.</w:t>
            </w:r>
          </w:p>
          <w:p w14:paraId="507589DB" w14:textId="77777777" w:rsidR="00230E4C" w:rsidRPr="00E54204" w:rsidRDefault="00230E4C" w:rsidP="00C96438">
            <w:pPr>
              <w:rPr>
                <w:sz w:val="20"/>
              </w:rPr>
            </w:pPr>
          </w:p>
          <w:p w14:paraId="48368694" w14:textId="77777777" w:rsidR="00230E4C" w:rsidRPr="00E54204" w:rsidRDefault="00230E4C" w:rsidP="00C96438">
            <w:pPr>
              <w:rPr>
                <w:sz w:val="20"/>
              </w:rPr>
            </w:pPr>
            <w:r w:rsidRPr="00E54204">
              <w:rPr>
                <w:b/>
                <w:sz w:val="20"/>
                <w:highlight w:val="lightGray"/>
              </w:rPr>
              <w:t>Yo. 9b</w:t>
            </w:r>
            <w:r w:rsidRPr="00E54204">
              <w:rPr>
                <w:sz w:val="20"/>
              </w:rPr>
              <w:t>-Holy Spirit departed from Israel.</w:t>
            </w:r>
          </w:p>
          <w:p w14:paraId="6ED5A472" w14:textId="77777777" w:rsidR="003148B2" w:rsidRDefault="003148B2" w:rsidP="00C96438">
            <w:pPr>
              <w:rPr>
                <w:sz w:val="20"/>
              </w:rPr>
            </w:pPr>
          </w:p>
          <w:p w14:paraId="15128A99" w14:textId="77777777" w:rsidR="00230E4C" w:rsidRPr="00E54204" w:rsidRDefault="00230E4C" w:rsidP="00C96438">
            <w:pPr>
              <w:rPr>
                <w:sz w:val="20"/>
              </w:rPr>
            </w:pPr>
            <w:r w:rsidRPr="00E54204">
              <w:rPr>
                <w:b/>
                <w:sz w:val="20"/>
                <w:highlight w:val="lightGray"/>
              </w:rPr>
              <w:t>Yo. 22b</w:t>
            </w:r>
            <w:r w:rsidRPr="00E54204">
              <w:rPr>
                <w:sz w:val="20"/>
              </w:rPr>
              <w:t>-Solomon reprimanded.</w:t>
            </w:r>
          </w:p>
          <w:p w14:paraId="035BD9B1" w14:textId="77777777" w:rsidR="00230E4C" w:rsidRPr="00E54204" w:rsidRDefault="00230E4C" w:rsidP="00C96438">
            <w:pPr>
              <w:rPr>
                <w:sz w:val="20"/>
              </w:rPr>
            </w:pPr>
            <w:r w:rsidRPr="00E54204">
              <w:rPr>
                <w:b/>
                <w:sz w:val="20"/>
                <w:highlight w:val="lightGray"/>
              </w:rPr>
              <w:t>Meg. 12a</w:t>
            </w:r>
            <w:r w:rsidRPr="00E54204">
              <w:rPr>
                <w:sz w:val="20"/>
              </w:rPr>
              <w:t>-Belshazar is addressed.</w:t>
            </w:r>
          </w:p>
          <w:p w14:paraId="75BB0110" w14:textId="77777777" w:rsidR="00230E4C" w:rsidRPr="00E54204" w:rsidRDefault="00230E4C" w:rsidP="00C96438">
            <w:pPr>
              <w:rPr>
                <w:sz w:val="20"/>
              </w:rPr>
            </w:pPr>
          </w:p>
          <w:p w14:paraId="2224B1A2" w14:textId="77777777" w:rsidR="00230E4C" w:rsidRPr="00E54204" w:rsidRDefault="00230E4C" w:rsidP="00C96438">
            <w:pPr>
              <w:rPr>
                <w:sz w:val="20"/>
              </w:rPr>
            </w:pPr>
            <w:r w:rsidRPr="00E54204">
              <w:rPr>
                <w:b/>
                <w:sz w:val="20"/>
              </w:rPr>
              <w:t>Chg. 15a</w:t>
            </w:r>
            <w:r w:rsidRPr="00E54204">
              <w:rPr>
                <w:sz w:val="20"/>
              </w:rPr>
              <w:t>-Elisha b. Avuyah told not to repent.</w:t>
            </w:r>
          </w:p>
          <w:p w14:paraId="74BF6033" w14:textId="77777777" w:rsidR="00230E4C" w:rsidRPr="00E54204" w:rsidRDefault="00230E4C" w:rsidP="00C96438">
            <w:pPr>
              <w:rPr>
                <w:sz w:val="20"/>
              </w:rPr>
            </w:pPr>
          </w:p>
          <w:p w14:paraId="6CDA8840" w14:textId="77777777" w:rsidR="00230E4C" w:rsidRPr="00E54204" w:rsidRDefault="00230E4C" w:rsidP="00C96438">
            <w:pPr>
              <w:rPr>
                <w:sz w:val="20"/>
              </w:rPr>
            </w:pPr>
            <w:r w:rsidRPr="00E54204">
              <w:rPr>
                <w:b/>
                <w:sz w:val="20"/>
              </w:rPr>
              <w:t>Git. 56b</w:t>
            </w:r>
            <w:r w:rsidRPr="00E54204">
              <w:rPr>
                <w:sz w:val="20"/>
              </w:rPr>
              <w:t>-Titus challenged.</w:t>
            </w:r>
          </w:p>
          <w:p w14:paraId="16A9E5AE" w14:textId="77777777" w:rsidR="00230E4C" w:rsidRPr="00E54204" w:rsidRDefault="00230E4C" w:rsidP="00C96438">
            <w:pPr>
              <w:rPr>
                <w:b/>
                <w:sz w:val="20"/>
              </w:rPr>
            </w:pPr>
          </w:p>
          <w:p w14:paraId="0EDD0361" w14:textId="77777777" w:rsidR="00230E4C" w:rsidRPr="00E54204" w:rsidRDefault="00230E4C" w:rsidP="00C96438">
            <w:pPr>
              <w:rPr>
                <w:sz w:val="20"/>
              </w:rPr>
            </w:pPr>
            <w:r w:rsidRPr="00E54204">
              <w:rPr>
                <w:b/>
                <w:sz w:val="20"/>
              </w:rPr>
              <w:t>B.M. 85b</w:t>
            </w:r>
            <w:r w:rsidRPr="00E54204">
              <w:rPr>
                <w:sz w:val="20"/>
              </w:rPr>
              <w:t>-R. Yose not buried with his father.</w:t>
            </w:r>
          </w:p>
          <w:p w14:paraId="4FD7586F" w14:textId="77777777" w:rsidR="00230E4C" w:rsidRPr="00E54204" w:rsidRDefault="00230E4C" w:rsidP="00C96438">
            <w:pPr>
              <w:rPr>
                <w:sz w:val="20"/>
              </w:rPr>
            </w:pPr>
          </w:p>
          <w:p w14:paraId="13687D02" w14:textId="77777777" w:rsidR="00230E4C" w:rsidRPr="00E54204" w:rsidRDefault="00230E4C" w:rsidP="00C96438">
            <w:pPr>
              <w:rPr>
                <w:sz w:val="20"/>
              </w:rPr>
            </w:pPr>
            <w:r w:rsidRPr="00E54204">
              <w:rPr>
                <w:b/>
                <w:sz w:val="20"/>
                <w:highlight w:val="lightGray"/>
              </w:rPr>
              <w:t>Sa. 96b</w:t>
            </w:r>
            <w:r w:rsidRPr="00E54204">
              <w:rPr>
                <w:sz w:val="20"/>
              </w:rPr>
              <w:t>-Nebuzaradan encouraged to destroy the First Temple.</w:t>
            </w:r>
          </w:p>
          <w:p w14:paraId="2A9071AC" w14:textId="77777777" w:rsidR="00230E4C" w:rsidRPr="00E54204" w:rsidRDefault="00230E4C" w:rsidP="00C96438">
            <w:pPr>
              <w:rPr>
                <w:sz w:val="20"/>
              </w:rPr>
            </w:pPr>
          </w:p>
          <w:p w14:paraId="026592F4" w14:textId="77777777" w:rsidR="00230E4C" w:rsidRPr="00E54204" w:rsidRDefault="00230E4C" w:rsidP="00C96438">
            <w:pPr>
              <w:rPr>
                <w:sz w:val="20"/>
              </w:rPr>
            </w:pPr>
            <w:r w:rsidRPr="00E54204">
              <w:rPr>
                <w:b/>
                <w:sz w:val="20"/>
                <w:highlight w:val="lightGray"/>
              </w:rPr>
              <w:t>Sa. 102a</w:t>
            </w:r>
            <w:r w:rsidRPr="00E54204">
              <w:rPr>
                <w:sz w:val="20"/>
              </w:rPr>
              <w:t>-Ten tribes castigated for not following David.</w:t>
            </w:r>
          </w:p>
          <w:p w14:paraId="0DC3485A" w14:textId="77777777" w:rsidR="00230E4C" w:rsidRPr="00E54204" w:rsidRDefault="00230E4C" w:rsidP="00C96438">
            <w:pPr>
              <w:rPr>
                <w:sz w:val="20"/>
              </w:rPr>
            </w:pPr>
          </w:p>
        </w:tc>
        <w:tc>
          <w:tcPr>
            <w:tcW w:w="1762" w:type="dxa"/>
          </w:tcPr>
          <w:p w14:paraId="17BB5089" w14:textId="77777777" w:rsidR="00230E4C" w:rsidRPr="00E54204" w:rsidRDefault="00230E4C" w:rsidP="00C96438">
            <w:pPr>
              <w:rPr>
                <w:sz w:val="20"/>
              </w:rPr>
            </w:pPr>
            <w:r w:rsidRPr="00E54204">
              <w:rPr>
                <w:b/>
                <w:sz w:val="20"/>
                <w:vertAlign w:val="superscript"/>
              </w:rPr>
              <w:footnoteReference w:id="287"/>
            </w:r>
            <w:r w:rsidRPr="00E54204">
              <w:rPr>
                <w:b/>
                <w:sz w:val="20"/>
              </w:rPr>
              <w:t>*Ber. 51b/Pe. 114a</w:t>
            </w:r>
            <w:r w:rsidRPr="00E54204">
              <w:rPr>
                <w:sz w:val="20"/>
              </w:rPr>
              <w:t>-Priority over blessing first the day or wine.</w:t>
            </w:r>
          </w:p>
          <w:p w14:paraId="080D45DB" w14:textId="77777777" w:rsidR="00230E4C" w:rsidRPr="00E54204" w:rsidRDefault="00230E4C" w:rsidP="00C96438">
            <w:pPr>
              <w:rPr>
                <w:sz w:val="20"/>
              </w:rPr>
            </w:pPr>
          </w:p>
          <w:p w14:paraId="003D8AE0" w14:textId="77777777" w:rsidR="00230E4C" w:rsidRPr="00E54204" w:rsidRDefault="00230E4C" w:rsidP="00C96438">
            <w:pPr>
              <w:rPr>
                <w:sz w:val="20"/>
              </w:rPr>
            </w:pPr>
            <w:r w:rsidRPr="00E54204">
              <w:rPr>
                <w:b/>
                <w:sz w:val="20"/>
              </w:rPr>
              <w:t>*Er. 6b</w:t>
            </w:r>
            <w:r w:rsidRPr="00E54204">
              <w:rPr>
                <w:sz w:val="20"/>
              </w:rPr>
              <w:t>-Dispute over public roads.</w:t>
            </w:r>
          </w:p>
          <w:p w14:paraId="54055C36" w14:textId="77777777" w:rsidR="00230E4C" w:rsidRPr="00E54204" w:rsidRDefault="00230E4C" w:rsidP="00C96438">
            <w:pPr>
              <w:rPr>
                <w:sz w:val="20"/>
              </w:rPr>
            </w:pPr>
          </w:p>
          <w:p w14:paraId="6CAF5D3B" w14:textId="77777777" w:rsidR="00230E4C" w:rsidRPr="00E54204" w:rsidRDefault="00230E4C" w:rsidP="00C96438">
            <w:pPr>
              <w:rPr>
                <w:sz w:val="20"/>
              </w:rPr>
            </w:pPr>
            <w:r w:rsidRPr="00E54204">
              <w:rPr>
                <w:b/>
                <w:sz w:val="20"/>
              </w:rPr>
              <w:t>Er. 13b</w:t>
            </w:r>
            <w:r w:rsidRPr="00E54204">
              <w:rPr>
                <w:sz w:val="20"/>
              </w:rPr>
              <w:t>-Hillel and Shammai original debate.</w:t>
            </w:r>
          </w:p>
          <w:p w14:paraId="1E9891F4" w14:textId="77777777" w:rsidR="00230E4C" w:rsidRPr="00E54204" w:rsidRDefault="00230E4C" w:rsidP="00C96438">
            <w:pPr>
              <w:rPr>
                <w:sz w:val="20"/>
              </w:rPr>
            </w:pPr>
          </w:p>
          <w:p w14:paraId="5E23F84F" w14:textId="77777777" w:rsidR="00230E4C" w:rsidRPr="00E54204" w:rsidRDefault="00230E4C" w:rsidP="00C96438">
            <w:pPr>
              <w:rPr>
                <w:sz w:val="20"/>
              </w:rPr>
            </w:pPr>
            <w:r w:rsidRPr="00E54204">
              <w:rPr>
                <w:b/>
                <w:sz w:val="20"/>
              </w:rPr>
              <w:t>*Yev. 14a</w:t>
            </w:r>
            <w:r w:rsidRPr="00E54204">
              <w:rPr>
                <w:sz w:val="20"/>
              </w:rPr>
              <w:t>-Different views on Levirite marriage.</w:t>
            </w:r>
          </w:p>
          <w:p w14:paraId="24F9D128" w14:textId="77777777" w:rsidR="00230E4C" w:rsidRPr="00E54204" w:rsidRDefault="00230E4C" w:rsidP="00C96438">
            <w:pPr>
              <w:rPr>
                <w:b/>
                <w:sz w:val="20"/>
              </w:rPr>
            </w:pPr>
          </w:p>
          <w:p w14:paraId="1ED9B8EF" w14:textId="77777777" w:rsidR="00230E4C" w:rsidRPr="00E54204" w:rsidRDefault="00230E4C" w:rsidP="00C96438">
            <w:pPr>
              <w:rPr>
                <w:sz w:val="20"/>
              </w:rPr>
            </w:pPr>
            <w:r w:rsidRPr="00E54204">
              <w:rPr>
                <w:b/>
                <w:sz w:val="20"/>
              </w:rPr>
              <w:t>Yev. 122a</w:t>
            </w:r>
            <w:r w:rsidRPr="00E54204">
              <w:rPr>
                <w:sz w:val="20"/>
              </w:rPr>
              <w:t xml:space="preserve">-Hillel permits a woman to remarry on the basis of a </w:t>
            </w:r>
            <w:r w:rsidRPr="00E54204">
              <w:rPr>
                <w:i/>
                <w:sz w:val="20"/>
              </w:rPr>
              <w:t>bat kol</w:t>
            </w:r>
            <w:r w:rsidRPr="00E54204">
              <w:rPr>
                <w:sz w:val="20"/>
              </w:rPr>
              <w:t>.</w:t>
            </w:r>
          </w:p>
          <w:p w14:paraId="219874A7" w14:textId="77777777" w:rsidR="00230E4C" w:rsidRPr="00E54204" w:rsidRDefault="00230E4C" w:rsidP="00C96438">
            <w:pPr>
              <w:rPr>
                <w:b/>
                <w:sz w:val="20"/>
              </w:rPr>
            </w:pPr>
          </w:p>
          <w:p w14:paraId="70BFFD9C" w14:textId="77777777" w:rsidR="00230E4C" w:rsidRPr="00E54204" w:rsidRDefault="00230E4C" w:rsidP="00C96438">
            <w:pPr>
              <w:rPr>
                <w:sz w:val="20"/>
              </w:rPr>
            </w:pPr>
            <w:r w:rsidRPr="00E54204">
              <w:rPr>
                <w:b/>
                <w:sz w:val="20"/>
              </w:rPr>
              <w:t>B.M. 59b</w:t>
            </w:r>
            <w:r w:rsidRPr="00E54204">
              <w:rPr>
                <w:sz w:val="20"/>
              </w:rPr>
              <w:t>-Aknai incident/Eliezer vs. Sages.</w:t>
            </w:r>
          </w:p>
          <w:p w14:paraId="10714CCD" w14:textId="77777777" w:rsidR="00230E4C" w:rsidRPr="00E54204" w:rsidRDefault="00230E4C" w:rsidP="00C96438">
            <w:pPr>
              <w:rPr>
                <w:sz w:val="20"/>
              </w:rPr>
            </w:pPr>
          </w:p>
          <w:p w14:paraId="659C0327" w14:textId="77777777" w:rsidR="00230E4C" w:rsidRPr="00E54204" w:rsidRDefault="00230E4C" w:rsidP="00C96438">
            <w:pPr>
              <w:rPr>
                <w:sz w:val="20"/>
              </w:rPr>
            </w:pPr>
            <w:r w:rsidRPr="00E54204">
              <w:rPr>
                <w:b/>
                <w:sz w:val="20"/>
              </w:rPr>
              <w:t>*Chl. 44a</w:t>
            </w:r>
            <w:r w:rsidRPr="00E54204">
              <w:rPr>
                <w:sz w:val="20"/>
              </w:rPr>
              <w:t xml:space="preserve">- </w:t>
            </w:r>
            <w:r w:rsidRPr="00E54204">
              <w:rPr>
                <w:sz w:val="20"/>
                <w:szCs w:val="20"/>
              </w:rPr>
              <w:t xml:space="preserve">Contradiction of opinion </w:t>
            </w:r>
            <w:r w:rsidRPr="00E54204">
              <w:rPr>
                <w:sz w:val="20"/>
              </w:rPr>
              <w:t xml:space="preserve">concerning </w:t>
            </w:r>
            <w:r w:rsidRPr="00E54204">
              <w:rPr>
                <w:i/>
                <w:sz w:val="20"/>
              </w:rPr>
              <w:t>treife</w:t>
            </w:r>
            <w:r w:rsidRPr="00E54204">
              <w:rPr>
                <w:sz w:val="20"/>
              </w:rPr>
              <w:t xml:space="preserve"> meat.</w:t>
            </w:r>
          </w:p>
          <w:p w14:paraId="2D31CF3A" w14:textId="77777777" w:rsidR="00230E4C" w:rsidRPr="00E54204" w:rsidRDefault="00230E4C" w:rsidP="00C96438">
            <w:pPr>
              <w:rPr>
                <w:sz w:val="20"/>
              </w:rPr>
            </w:pPr>
            <w:r w:rsidRPr="00E54204">
              <w:rPr>
                <w:b/>
                <w:sz w:val="20"/>
              </w:rPr>
              <w:t>Chl. 87a</w:t>
            </w:r>
            <w:r w:rsidRPr="00E54204">
              <w:rPr>
                <w:sz w:val="20"/>
              </w:rPr>
              <w:t>-</w:t>
            </w:r>
            <w:r w:rsidRPr="00E54204">
              <w:rPr>
                <w:i/>
                <w:sz w:val="20"/>
              </w:rPr>
              <w:t>Birkat hamazon (</w:t>
            </w:r>
            <w:r w:rsidRPr="00E54204">
              <w:rPr>
                <w:sz w:val="20"/>
              </w:rPr>
              <w:t>“blessing after the meal”).</w:t>
            </w:r>
          </w:p>
          <w:p w14:paraId="6AE7B8A9" w14:textId="77777777" w:rsidR="00230E4C" w:rsidRPr="00E54204" w:rsidRDefault="00230E4C" w:rsidP="00C96438">
            <w:pPr>
              <w:rPr>
                <w:sz w:val="20"/>
              </w:rPr>
            </w:pPr>
          </w:p>
          <w:p w14:paraId="56A42E5E" w14:textId="77777777" w:rsidR="00230E4C" w:rsidRPr="00E54204" w:rsidRDefault="00230E4C" w:rsidP="00C96438">
            <w:pPr>
              <w:rPr>
                <w:sz w:val="20"/>
              </w:rPr>
            </w:pPr>
          </w:p>
        </w:tc>
        <w:tc>
          <w:tcPr>
            <w:tcW w:w="1913" w:type="dxa"/>
          </w:tcPr>
          <w:p w14:paraId="7393B977" w14:textId="77777777" w:rsidR="00230E4C" w:rsidRPr="00E54204" w:rsidRDefault="00230E4C" w:rsidP="00C96438">
            <w:pPr>
              <w:rPr>
                <w:sz w:val="20"/>
              </w:rPr>
            </w:pPr>
            <w:r w:rsidRPr="00E54204">
              <w:rPr>
                <w:b/>
                <w:sz w:val="20"/>
                <w:highlight w:val="lightGray"/>
              </w:rPr>
              <w:t>Sh. 88a</w:t>
            </w:r>
            <w:r w:rsidRPr="00E54204">
              <w:rPr>
                <w:sz w:val="20"/>
              </w:rPr>
              <w:t>-</w:t>
            </w:r>
            <w:r w:rsidRPr="00E54204">
              <w:rPr>
                <w:i/>
                <w:sz w:val="20"/>
              </w:rPr>
              <w:t xml:space="preserve">Bat kol </w:t>
            </w:r>
            <w:r w:rsidRPr="00E54204">
              <w:rPr>
                <w:sz w:val="20"/>
              </w:rPr>
              <w:t>appeared when Israel said “we will do.”</w:t>
            </w:r>
          </w:p>
          <w:p w14:paraId="053F0AF6" w14:textId="77777777" w:rsidR="00230E4C" w:rsidRPr="00E54204" w:rsidRDefault="00230E4C" w:rsidP="00C96438">
            <w:pPr>
              <w:rPr>
                <w:b/>
                <w:sz w:val="20"/>
              </w:rPr>
            </w:pPr>
          </w:p>
          <w:p w14:paraId="5E94353D" w14:textId="77777777" w:rsidR="00230E4C" w:rsidRPr="00E54204" w:rsidRDefault="00230E4C" w:rsidP="00C96438">
            <w:pPr>
              <w:rPr>
                <w:sz w:val="20"/>
              </w:rPr>
            </w:pPr>
            <w:r w:rsidRPr="00E54204">
              <w:rPr>
                <w:b/>
                <w:sz w:val="20"/>
              </w:rPr>
              <w:t>Meg. 3a</w:t>
            </w:r>
            <w:r w:rsidRPr="00E54204">
              <w:rPr>
                <w:sz w:val="20"/>
              </w:rPr>
              <w:t>-God’s secrets not to be disclosed.</w:t>
            </w:r>
          </w:p>
          <w:p w14:paraId="76CB5600" w14:textId="77777777" w:rsidR="00230E4C" w:rsidRPr="00E54204" w:rsidRDefault="00230E4C" w:rsidP="00C96438">
            <w:pPr>
              <w:rPr>
                <w:sz w:val="20"/>
              </w:rPr>
            </w:pPr>
          </w:p>
          <w:p w14:paraId="71AF2CF7" w14:textId="77777777" w:rsidR="00230E4C" w:rsidRPr="00E54204" w:rsidRDefault="00230E4C" w:rsidP="00C96438">
            <w:pPr>
              <w:rPr>
                <w:sz w:val="20"/>
              </w:rPr>
            </w:pPr>
            <w:r w:rsidRPr="00E54204">
              <w:rPr>
                <w:b/>
                <w:sz w:val="20"/>
              </w:rPr>
              <w:t>Meg. 32a</w:t>
            </w:r>
            <w:r w:rsidRPr="00E54204">
              <w:rPr>
                <w:sz w:val="20"/>
              </w:rPr>
              <w:t xml:space="preserve">-Justification using the </w:t>
            </w:r>
            <w:r w:rsidRPr="00E54204">
              <w:rPr>
                <w:i/>
                <w:sz w:val="20"/>
              </w:rPr>
              <w:t>bat kol</w:t>
            </w:r>
            <w:r w:rsidRPr="00E54204">
              <w:rPr>
                <w:sz w:val="20"/>
              </w:rPr>
              <w:t>.</w:t>
            </w:r>
          </w:p>
          <w:p w14:paraId="685D0061" w14:textId="77777777" w:rsidR="00230E4C" w:rsidRPr="00E54204" w:rsidRDefault="00230E4C" w:rsidP="00C96438">
            <w:pPr>
              <w:rPr>
                <w:sz w:val="20"/>
              </w:rPr>
            </w:pPr>
          </w:p>
          <w:p w14:paraId="52E484CB" w14:textId="77777777" w:rsidR="00230E4C" w:rsidRPr="00E54204" w:rsidRDefault="00230E4C" w:rsidP="00C96438">
            <w:pPr>
              <w:rPr>
                <w:sz w:val="20"/>
              </w:rPr>
            </w:pPr>
            <w:r w:rsidRPr="00E54204">
              <w:rPr>
                <w:b/>
                <w:sz w:val="20"/>
              </w:rPr>
              <w:t>M.K. 18b/So. 2a/Sa. 22a</w:t>
            </w:r>
            <w:r w:rsidRPr="00E54204">
              <w:rPr>
                <w:sz w:val="20"/>
              </w:rPr>
              <w:t>-Preordained marriages announced.</w:t>
            </w:r>
          </w:p>
          <w:p w14:paraId="23C74DBE" w14:textId="77777777" w:rsidR="00230E4C" w:rsidRPr="00E54204" w:rsidRDefault="00230E4C" w:rsidP="00C96438">
            <w:pPr>
              <w:rPr>
                <w:sz w:val="20"/>
              </w:rPr>
            </w:pPr>
          </w:p>
          <w:p w14:paraId="2FFE3E60" w14:textId="77777777" w:rsidR="00230E4C" w:rsidRPr="00E54204" w:rsidRDefault="00230E4C" w:rsidP="00C96438">
            <w:pPr>
              <w:rPr>
                <w:sz w:val="20"/>
              </w:rPr>
            </w:pPr>
            <w:r w:rsidRPr="00E54204">
              <w:rPr>
                <w:b/>
                <w:sz w:val="20"/>
              </w:rPr>
              <w:t>Chg. 14b</w:t>
            </w:r>
            <w:r w:rsidRPr="00E54204">
              <w:rPr>
                <w:sz w:val="20"/>
              </w:rPr>
              <w:t xml:space="preserve">- </w:t>
            </w:r>
            <w:r w:rsidRPr="00E54204">
              <w:rPr>
                <w:sz w:val="20"/>
                <w:szCs w:val="20"/>
              </w:rPr>
              <w:t xml:space="preserve">Four sages are called up go up to heaven by a </w:t>
            </w:r>
            <w:r w:rsidRPr="00E54204">
              <w:rPr>
                <w:i/>
                <w:sz w:val="20"/>
                <w:szCs w:val="20"/>
              </w:rPr>
              <w:t>bat kol</w:t>
            </w:r>
            <w:r w:rsidRPr="00E54204">
              <w:rPr>
                <w:sz w:val="20"/>
                <w:szCs w:val="20"/>
              </w:rPr>
              <w:t>.</w:t>
            </w:r>
          </w:p>
          <w:p w14:paraId="47ABC63C" w14:textId="77777777" w:rsidR="00230E4C" w:rsidRPr="00E54204" w:rsidRDefault="00230E4C" w:rsidP="00C96438">
            <w:pPr>
              <w:rPr>
                <w:sz w:val="20"/>
              </w:rPr>
            </w:pPr>
          </w:p>
          <w:p w14:paraId="23E0D213" w14:textId="77777777" w:rsidR="00230E4C" w:rsidRPr="00E54204" w:rsidRDefault="00230E4C" w:rsidP="00C96438">
            <w:pPr>
              <w:rPr>
                <w:sz w:val="20"/>
              </w:rPr>
            </w:pPr>
            <w:r w:rsidRPr="00E54204">
              <w:rPr>
                <w:b/>
                <w:sz w:val="20"/>
              </w:rPr>
              <w:t>Ket. 77b</w:t>
            </w:r>
            <w:r w:rsidRPr="00E54204">
              <w:rPr>
                <w:sz w:val="20"/>
              </w:rPr>
              <w:t>-Sage hoodwinks angel of death.</w:t>
            </w:r>
          </w:p>
          <w:p w14:paraId="02E7FA6C" w14:textId="77777777" w:rsidR="003148B2" w:rsidRDefault="003148B2" w:rsidP="00C96438">
            <w:pPr>
              <w:rPr>
                <w:sz w:val="20"/>
              </w:rPr>
            </w:pPr>
          </w:p>
          <w:p w14:paraId="187EBAB5" w14:textId="77777777" w:rsidR="003148B2" w:rsidRDefault="003148B2" w:rsidP="00C96438">
            <w:pPr>
              <w:rPr>
                <w:sz w:val="20"/>
              </w:rPr>
            </w:pPr>
          </w:p>
          <w:p w14:paraId="50CD7172" w14:textId="77777777" w:rsidR="003148B2" w:rsidRDefault="003148B2" w:rsidP="00C96438">
            <w:pPr>
              <w:rPr>
                <w:sz w:val="20"/>
              </w:rPr>
            </w:pPr>
          </w:p>
          <w:p w14:paraId="7485FC07" w14:textId="77777777" w:rsidR="003148B2" w:rsidRDefault="003148B2" w:rsidP="00C96438">
            <w:pPr>
              <w:rPr>
                <w:sz w:val="20"/>
              </w:rPr>
            </w:pPr>
          </w:p>
          <w:p w14:paraId="53227BAC" w14:textId="77777777" w:rsidR="00230E4C" w:rsidRPr="00E54204" w:rsidRDefault="00230E4C" w:rsidP="00C96438">
            <w:pPr>
              <w:rPr>
                <w:sz w:val="20"/>
              </w:rPr>
            </w:pPr>
            <w:r w:rsidRPr="00E54204">
              <w:rPr>
                <w:b/>
                <w:sz w:val="20"/>
              </w:rPr>
              <w:t>So. 21a</w:t>
            </w:r>
            <w:r w:rsidRPr="00E54204">
              <w:rPr>
                <w:sz w:val="20"/>
              </w:rPr>
              <w:t>- Hillel refused to share merit of Torah study with his brother.</w:t>
            </w:r>
          </w:p>
          <w:p w14:paraId="6CEF5B4F" w14:textId="77777777" w:rsidR="00230E4C" w:rsidRPr="00E54204" w:rsidRDefault="00230E4C" w:rsidP="00C96438">
            <w:pPr>
              <w:rPr>
                <w:sz w:val="20"/>
              </w:rPr>
            </w:pPr>
          </w:p>
          <w:p w14:paraId="358EE022" w14:textId="77777777" w:rsidR="00230E4C" w:rsidRPr="00E54204" w:rsidRDefault="00230E4C" w:rsidP="00C96438">
            <w:pPr>
              <w:rPr>
                <w:sz w:val="20"/>
              </w:rPr>
            </w:pPr>
            <w:r w:rsidRPr="00E54204">
              <w:rPr>
                <w:b/>
                <w:sz w:val="20"/>
              </w:rPr>
              <w:t>So. 33a</w:t>
            </w:r>
            <w:r w:rsidRPr="00E54204">
              <w:rPr>
                <w:sz w:val="20"/>
              </w:rPr>
              <w:t>-Military victory announced in the Holy of Holies.</w:t>
            </w:r>
          </w:p>
          <w:p w14:paraId="45394AB3" w14:textId="77777777" w:rsidR="00230E4C" w:rsidRPr="00E54204" w:rsidRDefault="00230E4C" w:rsidP="00C96438">
            <w:pPr>
              <w:rPr>
                <w:sz w:val="20"/>
              </w:rPr>
            </w:pPr>
          </w:p>
          <w:p w14:paraId="41F38068" w14:textId="77777777" w:rsidR="00230E4C" w:rsidRPr="00E54204" w:rsidRDefault="00230E4C" w:rsidP="00C96438">
            <w:pPr>
              <w:rPr>
                <w:sz w:val="20"/>
              </w:rPr>
            </w:pPr>
            <w:r w:rsidRPr="00E54204">
              <w:rPr>
                <w:b/>
                <w:sz w:val="20"/>
              </w:rPr>
              <w:t>B.B. 3b</w:t>
            </w:r>
            <w:r w:rsidRPr="00E54204">
              <w:rPr>
                <w:sz w:val="20"/>
              </w:rPr>
              <w:t>-Herod kills Hasmonean masters.</w:t>
            </w:r>
          </w:p>
          <w:p w14:paraId="3591E548" w14:textId="77777777" w:rsidR="00230E4C" w:rsidRPr="00E54204" w:rsidRDefault="00230E4C" w:rsidP="00C96438">
            <w:pPr>
              <w:rPr>
                <w:b/>
                <w:sz w:val="20"/>
              </w:rPr>
            </w:pPr>
          </w:p>
          <w:p w14:paraId="3915CA48" w14:textId="77777777" w:rsidR="00230E4C" w:rsidRPr="00E54204" w:rsidRDefault="00230E4C" w:rsidP="00C96438">
            <w:pPr>
              <w:rPr>
                <w:sz w:val="20"/>
              </w:rPr>
            </w:pPr>
            <w:r w:rsidRPr="00E54204">
              <w:rPr>
                <w:b/>
                <w:sz w:val="20"/>
                <w:highlight w:val="lightGray"/>
              </w:rPr>
              <w:t>B.B. 58a</w:t>
            </w:r>
            <w:r w:rsidRPr="00E54204">
              <w:rPr>
                <w:sz w:val="20"/>
              </w:rPr>
              <w:t>-God prohibits gazing upon Adam (i.e., His likeness).</w:t>
            </w:r>
          </w:p>
          <w:p w14:paraId="13FDFECE" w14:textId="77777777" w:rsidR="00230E4C" w:rsidRPr="00E54204" w:rsidRDefault="00230E4C" w:rsidP="00C96438">
            <w:pPr>
              <w:rPr>
                <w:b/>
                <w:sz w:val="20"/>
              </w:rPr>
            </w:pPr>
          </w:p>
          <w:p w14:paraId="1224E5BA" w14:textId="77777777" w:rsidR="00230E4C" w:rsidRPr="00E54204" w:rsidRDefault="00230E4C" w:rsidP="00C96438">
            <w:pPr>
              <w:rPr>
                <w:sz w:val="20"/>
              </w:rPr>
            </w:pPr>
            <w:r w:rsidRPr="00E54204">
              <w:rPr>
                <w:b/>
                <w:sz w:val="20"/>
              </w:rPr>
              <w:t>B.B. 73b</w:t>
            </w:r>
            <w:r w:rsidRPr="00E54204">
              <w:rPr>
                <w:sz w:val="20"/>
              </w:rPr>
              <w:t>-Sages are warned with an extremely deep and dangerous body of water.</w:t>
            </w:r>
          </w:p>
          <w:p w14:paraId="2C8DCF96" w14:textId="77777777" w:rsidR="00230E4C" w:rsidRPr="00E54204" w:rsidRDefault="00230E4C" w:rsidP="00C96438">
            <w:pPr>
              <w:rPr>
                <w:b/>
                <w:sz w:val="20"/>
              </w:rPr>
            </w:pPr>
          </w:p>
          <w:p w14:paraId="57617E1D" w14:textId="77777777" w:rsidR="00230E4C" w:rsidRPr="00E54204" w:rsidRDefault="00230E4C" w:rsidP="00C96438">
            <w:pPr>
              <w:rPr>
                <w:sz w:val="20"/>
              </w:rPr>
            </w:pPr>
            <w:r w:rsidRPr="00E54204">
              <w:rPr>
                <w:b/>
                <w:sz w:val="20"/>
                <w:highlight w:val="lightGray"/>
              </w:rPr>
              <w:t>B.B. 74a</w:t>
            </w:r>
            <w:r w:rsidRPr="00E54204">
              <w:rPr>
                <w:sz w:val="20"/>
              </w:rPr>
              <w:t>-God bemoans exiling the people.</w:t>
            </w:r>
          </w:p>
          <w:p w14:paraId="52300975" w14:textId="77777777" w:rsidR="00230E4C" w:rsidRPr="00E54204" w:rsidRDefault="00230E4C" w:rsidP="00C96438">
            <w:pPr>
              <w:rPr>
                <w:sz w:val="20"/>
              </w:rPr>
            </w:pPr>
          </w:p>
          <w:p w14:paraId="17E7AF10" w14:textId="77777777" w:rsidR="00230E4C" w:rsidRPr="00E54204" w:rsidRDefault="00230E4C" w:rsidP="00C96438">
            <w:pPr>
              <w:rPr>
                <w:sz w:val="20"/>
              </w:rPr>
            </w:pPr>
            <w:r w:rsidRPr="00E54204">
              <w:rPr>
                <w:b/>
                <w:sz w:val="20"/>
                <w:highlight w:val="lightGray"/>
              </w:rPr>
              <w:t>Sa. 94a</w:t>
            </w:r>
            <w:r w:rsidR="005D667D" w:rsidRPr="00E54204">
              <w:rPr>
                <w:sz w:val="20"/>
              </w:rPr>
              <w:t>-</w:t>
            </w:r>
            <w:r w:rsidRPr="00E54204">
              <w:rPr>
                <w:sz w:val="20"/>
              </w:rPr>
              <w:t>God’s secret in choosing who to make the Messiah.</w:t>
            </w:r>
          </w:p>
          <w:p w14:paraId="2E33BF52" w14:textId="77777777" w:rsidR="00230E4C" w:rsidRPr="00E54204" w:rsidRDefault="00230E4C" w:rsidP="00C96438">
            <w:pPr>
              <w:rPr>
                <w:sz w:val="20"/>
              </w:rPr>
            </w:pPr>
          </w:p>
          <w:p w14:paraId="123F83B6" w14:textId="77777777" w:rsidR="00230E4C" w:rsidRPr="00E54204" w:rsidRDefault="00230E4C" w:rsidP="00C96438">
            <w:pPr>
              <w:rPr>
                <w:sz w:val="20"/>
              </w:rPr>
            </w:pPr>
            <w:r w:rsidRPr="00E54204">
              <w:rPr>
                <w:b/>
                <w:sz w:val="20"/>
                <w:highlight w:val="lightGray"/>
              </w:rPr>
              <w:t>Hr. 12a/Ker.5b</w:t>
            </w:r>
            <w:r w:rsidR="005D667D" w:rsidRPr="00E54204">
              <w:rPr>
                <w:sz w:val="20"/>
              </w:rPr>
              <w:t>-</w:t>
            </w:r>
            <w:r w:rsidRPr="00E54204">
              <w:rPr>
                <w:sz w:val="20"/>
              </w:rPr>
              <w:t>Moses and Aaron did not illegally use holy oil.</w:t>
            </w:r>
          </w:p>
          <w:p w14:paraId="29AC8535" w14:textId="77777777" w:rsidR="00230E4C" w:rsidRPr="00E54204" w:rsidRDefault="00230E4C" w:rsidP="00C96438">
            <w:pPr>
              <w:rPr>
                <w:sz w:val="20"/>
              </w:rPr>
            </w:pPr>
          </w:p>
          <w:p w14:paraId="5A7EFC8C" w14:textId="77777777" w:rsidR="00230E4C" w:rsidRPr="00E54204" w:rsidRDefault="00230E4C" w:rsidP="00C96438">
            <w:pPr>
              <w:rPr>
                <w:sz w:val="20"/>
              </w:rPr>
            </w:pPr>
            <w:r w:rsidRPr="00E54204">
              <w:rPr>
                <w:b/>
                <w:sz w:val="20"/>
                <w:highlight w:val="lightGray"/>
              </w:rPr>
              <w:t>Mak. 23b</w:t>
            </w:r>
            <w:r w:rsidR="005D667D" w:rsidRPr="00E54204">
              <w:rPr>
                <w:b/>
                <w:sz w:val="20"/>
              </w:rPr>
              <w:t>-</w:t>
            </w:r>
            <w:r w:rsidRPr="00E54204">
              <w:rPr>
                <w:sz w:val="20"/>
              </w:rPr>
              <w:t xml:space="preserve">Divine Spirit makes public appearance in Biblical history via a </w:t>
            </w:r>
            <w:r w:rsidRPr="00E54204">
              <w:rPr>
                <w:i/>
                <w:sz w:val="20"/>
              </w:rPr>
              <w:t>bat kol</w:t>
            </w:r>
            <w:r w:rsidRPr="00E54204">
              <w:rPr>
                <w:sz w:val="20"/>
              </w:rPr>
              <w:t>.</w:t>
            </w:r>
          </w:p>
          <w:p w14:paraId="54AB6CD6" w14:textId="77777777" w:rsidR="00230E4C" w:rsidRPr="00E54204" w:rsidRDefault="00230E4C" w:rsidP="00C96438">
            <w:pPr>
              <w:rPr>
                <w:sz w:val="20"/>
              </w:rPr>
            </w:pPr>
          </w:p>
          <w:p w14:paraId="4F7B2FBF" w14:textId="77777777" w:rsidR="00230E4C" w:rsidRPr="00E54204" w:rsidRDefault="00230E4C" w:rsidP="00C96438">
            <w:pPr>
              <w:rPr>
                <w:sz w:val="20"/>
              </w:rPr>
            </w:pPr>
            <w:r w:rsidRPr="00E54204">
              <w:rPr>
                <w:b/>
                <w:sz w:val="20"/>
                <w:highlight w:val="lightGray"/>
              </w:rPr>
              <w:t>Men. 53b</w:t>
            </w:r>
            <w:r w:rsidRPr="00E54204">
              <w:rPr>
                <w:sz w:val="20"/>
              </w:rPr>
              <w:t>-Israel will be restored at the end of their destiny.</w:t>
            </w:r>
          </w:p>
          <w:p w14:paraId="43E3A2B4" w14:textId="77777777" w:rsidR="00230E4C" w:rsidRPr="00E54204" w:rsidRDefault="00230E4C" w:rsidP="00C96438">
            <w:pPr>
              <w:rPr>
                <w:sz w:val="20"/>
              </w:rPr>
            </w:pPr>
          </w:p>
        </w:tc>
      </w:tr>
      <w:tr w:rsidR="00230E4C" w:rsidRPr="00E54204" w14:paraId="0144F8D7" w14:textId="77777777" w:rsidTr="00230E4C">
        <w:trPr>
          <w:trHeight w:val="20"/>
        </w:trPr>
        <w:tc>
          <w:tcPr>
            <w:tcW w:w="1659" w:type="dxa"/>
          </w:tcPr>
          <w:p w14:paraId="1DCE8F9D" w14:textId="77777777" w:rsidR="00230E4C" w:rsidRPr="00E54204" w:rsidRDefault="00230E4C" w:rsidP="00C96438">
            <w:pPr>
              <w:rPr>
                <w:b/>
                <w:sz w:val="20"/>
              </w:rPr>
            </w:pPr>
            <w:r w:rsidRPr="00E54204">
              <w:rPr>
                <w:b/>
                <w:sz w:val="22"/>
              </w:rPr>
              <w:t>Totals:</w:t>
            </w:r>
          </w:p>
        </w:tc>
        <w:tc>
          <w:tcPr>
            <w:tcW w:w="1950" w:type="dxa"/>
          </w:tcPr>
          <w:p w14:paraId="18684591" w14:textId="77777777" w:rsidR="00230E4C" w:rsidRPr="00E54204" w:rsidRDefault="00230E4C" w:rsidP="00C96438"/>
        </w:tc>
        <w:tc>
          <w:tcPr>
            <w:tcW w:w="1577" w:type="dxa"/>
          </w:tcPr>
          <w:p w14:paraId="734182BF" w14:textId="77777777" w:rsidR="00230E4C" w:rsidRPr="00E54204" w:rsidRDefault="00230E4C" w:rsidP="00C96438"/>
        </w:tc>
        <w:tc>
          <w:tcPr>
            <w:tcW w:w="1762" w:type="dxa"/>
          </w:tcPr>
          <w:p w14:paraId="3341C6A2" w14:textId="77777777" w:rsidR="00230E4C" w:rsidRPr="00E54204" w:rsidRDefault="00230E4C" w:rsidP="00C96438"/>
        </w:tc>
        <w:tc>
          <w:tcPr>
            <w:tcW w:w="1913" w:type="dxa"/>
          </w:tcPr>
          <w:p w14:paraId="7D6E0865" w14:textId="77777777" w:rsidR="00230E4C" w:rsidRPr="00E54204" w:rsidRDefault="00230E4C" w:rsidP="00C96438"/>
        </w:tc>
      </w:tr>
      <w:tr w:rsidR="00230E4C" w:rsidRPr="00E54204" w14:paraId="3443B839" w14:textId="77777777" w:rsidTr="00230E4C">
        <w:trPr>
          <w:trHeight w:val="521"/>
        </w:trPr>
        <w:tc>
          <w:tcPr>
            <w:tcW w:w="1659" w:type="dxa"/>
          </w:tcPr>
          <w:p w14:paraId="4E0B042E" w14:textId="77777777" w:rsidR="00230E4C" w:rsidRPr="00E54204" w:rsidRDefault="00230E4C" w:rsidP="00C96438">
            <w:pPr>
              <w:jc w:val="center"/>
              <w:rPr>
                <w:b/>
              </w:rPr>
            </w:pPr>
            <w:r w:rsidRPr="00E54204">
              <w:rPr>
                <w:b/>
                <w:sz w:val="22"/>
              </w:rPr>
              <w:t>12</w:t>
            </w:r>
          </w:p>
        </w:tc>
        <w:tc>
          <w:tcPr>
            <w:tcW w:w="1950" w:type="dxa"/>
          </w:tcPr>
          <w:p w14:paraId="17AC3BC5" w14:textId="77777777" w:rsidR="00230E4C" w:rsidRPr="00E54204" w:rsidRDefault="00230E4C" w:rsidP="00C96438">
            <w:pPr>
              <w:jc w:val="center"/>
              <w:rPr>
                <w:b/>
              </w:rPr>
            </w:pPr>
            <w:r w:rsidRPr="00E54204">
              <w:rPr>
                <w:b/>
                <w:sz w:val="22"/>
              </w:rPr>
              <w:t>13</w:t>
            </w:r>
          </w:p>
        </w:tc>
        <w:tc>
          <w:tcPr>
            <w:tcW w:w="1577" w:type="dxa"/>
          </w:tcPr>
          <w:p w14:paraId="457DB874" w14:textId="77777777" w:rsidR="00230E4C" w:rsidRPr="00E54204" w:rsidRDefault="00230E4C" w:rsidP="00C96438">
            <w:pPr>
              <w:jc w:val="center"/>
              <w:rPr>
                <w:b/>
              </w:rPr>
            </w:pPr>
            <w:r w:rsidRPr="00E54204">
              <w:rPr>
                <w:b/>
                <w:sz w:val="22"/>
              </w:rPr>
              <w:t>13</w:t>
            </w:r>
          </w:p>
        </w:tc>
        <w:tc>
          <w:tcPr>
            <w:tcW w:w="1762" w:type="dxa"/>
          </w:tcPr>
          <w:p w14:paraId="031A035A" w14:textId="77777777" w:rsidR="00230E4C" w:rsidRPr="00E54204" w:rsidRDefault="00230E4C" w:rsidP="00C96438">
            <w:pPr>
              <w:jc w:val="center"/>
              <w:rPr>
                <w:b/>
              </w:rPr>
            </w:pPr>
            <w:r w:rsidRPr="00E54204">
              <w:rPr>
                <w:b/>
                <w:sz w:val="22"/>
              </w:rPr>
              <w:t>8</w:t>
            </w:r>
          </w:p>
        </w:tc>
        <w:tc>
          <w:tcPr>
            <w:tcW w:w="1913" w:type="dxa"/>
          </w:tcPr>
          <w:p w14:paraId="17FF3292" w14:textId="77777777" w:rsidR="00230E4C" w:rsidRPr="00E54204" w:rsidRDefault="00230E4C" w:rsidP="00C96438">
            <w:pPr>
              <w:jc w:val="center"/>
              <w:rPr>
                <w:b/>
              </w:rPr>
            </w:pPr>
            <w:r w:rsidRPr="00E54204">
              <w:rPr>
                <w:b/>
                <w:sz w:val="22"/>
              </w:rPr>
              <w:t>16</w:t>
            </w:r>
          </w:p>
        </w:tc>
      </w:tr>
    </w:tbl>
    <w:p w14:paraId="24FF417E" w14:textId="77777777" w:rsidR="00D6636F" w:rsidRPr="00E54204" w:rsidRDefault="00D6636F" w:rsidP="00D6636F">
      <w:pPr>
        <w:spacing w:after="160"/>
        <w:ind w:firstLine="720"/>
        <w:rPr>
          <w:b/>
          <w:szCs w:val="20"/>
        </w:rPr>
      </w:pPr>
    </w:p>
    <w:p w14:paraId="6F804FFE" w14:textId="77777777" w:rsidR="00D6636F" w:rsidRPr="00E54204" w:rsidRDefault="00253336" w:rsidP="002C502B">
      <w:pPr>
        <w:spacing w:after="160"/>
        <w:ind w:firstLine="720"/>
        <w:rPr>
          <w:b/>
          <w:szCs w:val="20"/>
        </w:rPr>
      </w:pPr>
      <w:r w:rsidRPr="00E54204">
        <w:rPr>
          <w:szCs w:val="20"/>
        </w:rPr>
        <w:t xml:space="preserve">The category with the least occurring examples are those related to </w:t>
      </w:r>
      <w:r w:rsidR="00EF69C7" w:rsidRPr="00E54204">
        <w:rPr>
          <w:i/>
          <w:szCs w:val="20"/>
        </w:rPr>
        <w:t>Halac</w:t>
      </w:r>
      <w:r w:rsidRPr="00E54204">
        <w:rPr>
          <w:i/>
          <w:szCs w:val="20"/>
        </w:rPr>
        <w:t>ha</w:t>
      </w:r>
      <w:r w:rsidR="00AA2FE7" w:rsidRPr="00E54204">
        <w:rPr>
          <w:szCs w:val="20"/>
        </w:rPr>
        <w:t>, though it is noteworthy how numerous st</w:t>
      </w:r>
      <w:r w:rsidR="00552995" w:rsidRPr="00E54204">
        <w:rPr>
          <w:szCs w:val="20"/>
        </w:rPr>
        <w:t xml:space="preserve">ories allude to a </w:t>
      </w:r>
      <w:r w:rsidR="00552995" w:rsidRPr="00E54204">
        <w:rPr>
          <w:i/>
          <w:szCs w:val="20"/>
        </w:rPr>
        <w:t xml:space="preserve">bat kol </w:t>
      </w:r>
      <w:r w:rsidR="00552995" w:rsidRPr="00E54204">
        <w:rPr>
          <w:szCs w:val="20"/>
        </w:rPr>
        <w:t>settling</w:t>
      </w:r>
      <w:r w:rsidR="00AA2FE7" w:rsidRPr="00E54204">
        <w:rPr>
          <w:szCs w:val="20"/>
        </w:rPr>
        <w:t xml:space="preserve"> a famous legal stalemate between the school</w:t>
      </w:r>
      <w:r w:rsidR="00552995" w:rsidRPr="00E54204">
        <w:rPr>
          <w:szCs w:val="20"/>
        </w:rPr>
        <w:t>s of Shammai and Hillel.</w:t>
      </w:r>
      <w:r w:rsidR="00A25DF3" w:rsidRPr="00E54204">
        <w:rPr>
          <w:szCs w:val="20"/>
        </w:rPr>
        <w:t xml:space="preserve">  </w:t>
      </w:r>
      <w:r w:rsidR="00552995" w:rsidRPr="00E54204">
        <w:rPr>
          <w:szCs w:val="20"/>
        </w:rPr>
        <w:t xml:space="preserve">The </w:t>
      </w:r>
      <w:r w:rsidR="00EF69C7" w:rsidRPr="00E54204">
        <w:rPr>
          <w:i/>
          <w:szCs w:val="20"/>
        </w:rPr>
        <w:t>Halac</w:t>
      </w:r>
      <w:r w:rsidR="00552995" w:rsidRPr="00E54204">
        <w:rPr>
          <w:i/>
          <w:szCs w:val="20"/>
        </w:rPr>
        <w:t xml:space="preserve">ha </w:t>
      </w:r>
      <w:r w:rsidR="00552995" w:rsidRPr="00E54204">
        <w:rPr>
          <w:szCs w:val="20"/>
        </w:rPr>
        <w:t>ended up following Hillel.  Nevertheless, on occasion, the rulings of</w:t>
      </w:r>
      <w:r w:rsidR="00896EC9" w:rsidRPr="00E54204">
        <w:rPr>
          <w:szCs w:val="20"/>
        </w:rPr>
        <w:t xml:space="preserve"> Shamm</w:t>
      </w:r>
      <w:r w:rsidR="00552995" w:rsidRPr="00E54204">
        <w:rPr>
          <w:szCs w:val="20"/>
        </w:rPr>
        <w:t>ai are referenced and sometimes approved as valid, in such cases we read how the narrator remarks that one could argue that Shammai’s ruling stood prior to the intervention of the</w:t>
      </w:r>
      <w:r w:rsidR="00896EC9" w:rsidRPr="00E54204">
        <w:rPr>
          <w:szCs w:val="20"/>
        </w:rPr>
        <w:t xml:space="preserve"> </w:t>
      </w:r>
      <w:r w:rsidR="00552995" w:rsidRPr="00E54204">
        <w:rPr>
          <w:i/>
          <w:szCs w:val="20"/>
        </w:rPr>
        <w:t>bat kol</w:t>
      </w:r>
      <w:r w:rsidR="00552995" w:rsidRPr="00E54204">
        <w:rPr>
          <w:szCs w:val="20"/>
        </w:rPr>
        <w:t>.</w:t>
      </w:r>
      <w:r w:rsidR="00896EC9" w:rsidRPr="00E54204">
        <w:rPr>
          <w:szCs w:val="20"/>
        </w:rPr>
        <w:t xml:space="preserve"> </w:t>
      </w:r>
      <w:r w:rsidR="00A25DF3" w:rsidRPr="00E54204">
        <w:rPr>
          <w:szCs w:val="20"/>
        </w:rPr>
        <w:t xml:space="preserve">  There are also twenty-four out of sixty-two stories which pertain to Biblical characters and or the Biblical period.</w:t>
      </w:r>
    </w:p>
    <w:p w14:paraId="2889BF95" w14:textId="77777777" w:rsidR="00410C65" w:rsidRPr="00E54204" w:rsidRDefault="00F83D13" w:rsidP="00410C65">
      <w:pPr>
        <w:spacing w:after="160"/>
        <w:rPr>
          <w:i/>
          <w:szCs w:val="20"/>
        </w:rPr>
      </w:pPr>
      <w:r w:rsidRPr="00E54204">
        <w:rPr>
          <w:szCs w:val="20"/>
        </w:rPr>
        <w:t>A.</w:t>
      </w:r>
      <w:r w:rsidRPr="00E54204">
        <w:rPr>
          <w:i/>
          <w:szCs w:val="20"/>
        </w:rPr>
        <w:tab/>
      </w:r>
      <w:r w:rsidR="00ED18D8" w:rsidRPr="00E54204">
        <w:rPr>
          <w:i/>
          <w:szCs w:val="20"/>
        </w:rPr>
        <w:t>The Talmud</w:t>
      </w:r>
      <w:r w:rsidRPr="00E54204">
        <w:rPr>
          <w:i/>
          <w:szCs w:val="20"/>
        </w:rPr>
        <w:t>:</w:t>
      </w:r>
    </w:p>
    <w:p w14:paraId="478777CB" w14:textId="77777777" w:rsidR="00ED18D8" w:rsidRPr="00E54204" w:rsidRDefault="00ED18D8" w:rsidP="006E723D">
      <w:pPr>
        <w:spacing w:after="160"/>
        <w:ind w:firstLine="720"/>
        <w:rPr>
          <w:szCs w:val="20"/>
        </w:rPr>
      </w:pPr>
      <w:r w:rsidRPr="00E54204">
        <w:rPr>
          <w:szCs w:val="20"/>
        </w:rPr>
        <w:t>The Talmud is written in a blend of Hebrew and Aramaic.  Scholars like Jacob Neusner have detected the interchangeability of language within the Bavli as a marker of taxonomy.  That is to say the redactors of the Bavli communicated on multiple levels: 1) explicitly, via the written text, and 2) implicitly in the language of choice of such c</w:t>
      </w:r>
      <w:r w:rsidR="00DA7F51" w:rsidRPr="00E54204">
        <w:rPr>
          <w:szCs w:val="20"/>
        </w:rPr>
        <w:t>ommunication.  Hence, Neusner proposes</w:t>
      </w:r>
      <w:r w:rsidRPr="00E54204">
        <w:rPr>
          <w:szCs w:val="20"/>
        </w:rPr>
        <w:t xml:space="preserve"> whatever is said in Hebrew, “is represented as authoritative and formulates a normative thought or rule.  What is said in Aramaic is analytical and commonly signals an argument and formulates a process of inquiry and criticism.”</w:t>
      </w:r>
      <w:r w:rsidRPr="00E54204">
        <w:rPr>
          <w:szCs w:val="20"/>
          <w:vertAlign w:val="superscript"/>
        </w:rPr>
        <w:footnoteReference w:id="288"/>
      </w:r>
      <w:r w:rsidRPr="00E54204">
        <w:rPr>
          <w:szCs w:val="20"/>
        </w:rPr>
        <w:t xml:space="preserve">  Menachem Fisch has similarly identified the importance of language in the Bavli.  </w:t>
      </w:r>
      <w:r w:rsidR="00DA7F51" w:rsidRPr="00E54204">
        <w:rPr>
          <w:szCs w:val="20"/>
        </w:rPr>
        <w:t>He noted that any material attributed</w:t>
      </w:r>
      <w:r w:rsidRPr="00E54204">
        <w:rPr>
          <w:szCs w:val="20"/>
        </w:rPr>
        <w:t xml:space="preserve"> to the </w:t>
      </w:r>
      <w:r w:rsidRPr="00E54204">
        <w:rPr>
          <w:i/>
          <w:szCs w:val="20"/>
        </w:rPr>
        <w:t>Tannaim</w:t>
      </w:r>
      <w:r w:rsidRPr="00E54204">
        <w:rPr>
          <w:szCs w:val="20"/>
          <w:vertAlign w:val="superscript"/>
        </w:rPr>
        <w:footnoteReference w:id="289"/>
      </w:r>
      <w:r w:rsidRPr="00E54204">
        <w:rPr>
          <w:szCs w:val="20"/>
        </w:rPr>
        <w:t xml:space="preserve"> is quoted solely in Hebrew, while material quoted of the </w:t>
      </w:r>
      <w:r w:rsidRPr="00E54204">
        <w:rPr>
          <w:i/>
          <w:szCs w:val="20"/>
        </w:rPr>
        <w:t>Amoraim</w:t>
      </w:r>
      <w:r w:rsidRPr="00E54204">
        <w:rPr>
          <w:szCs w:val="20"/>
          <w:vertAlign w:val="superscript"/>
        </w:rPr>
        <w:footnoteReference w:id="290"/>
      </w:r>
      <w:r w:rsidRPr="00E54204">
        <w:rPr>
          <w:szCs w:val="20"/>
        </w:rPr>
        <w:t xml:space="preserve"> is preserved in Aramaic.</w:t>
      </w:r>
      <w:r w:rsidRPr="00E54204">
        <w:rPr>
          <w:szCs w:val="20"/>
          <w:vertAlign w:val="superscript"/>
        </w:rPr>
        <w:footnoteReference w:id="291"/>
      </w:r>
      <w:r w:rsidR="00DA7F51" w:rsidRPr="00E54204">
        <w:rPr>
          <w:szCs w:val="20"/>
        </w:rPr>
        <w:t xml:space="preserve">  This editorial feature</w:t>
      </w:r>
      <w:r w:rsidRPr="00E54204">
        <w:rPr>
          <w:szCs w:val="20"/>
        </w:rPr>
        <w:t xml:space="preserve"> may suggest the “voice from heaven” originated with the </w:t>
      </w:r>
      <w:r w:rsidRPr="00E54204">
        <w:rPr>
          <w:i/>
          <w:szCs w:val="20"/>
        </w:rPr>
        <w:t>Tannaim</w:t>
      </w:r>
      <w:r w:rsidRPr="00E54204">
        <w:rPr>
          <w:szCs w:val="20"/>
        </w:rPr>
        <w:t xml:space="preserve"> (mid-first BCE-third century CE) since the majority of references are in Hebrew (</w:t>
      </w:r>
      <w:r w:rsidRPr="00E54204">
        <w:rPr>
          <w:i/>
          <w:szCs w:val="20"/>
        </w:rPr>
        <w:t>bat kol</w:t>
      </w:r>
      <w:r w:rsidRPr="00E54204">
        <w:rPr>
          <w:szCs w:val="20"/>
        </w:rPr>
        <w:t>) and are also found in the Bavli.</w:t>
      </w:r>
      <w:r w:rsidRPr="00E54204">
        <w:rPr>
          <w:szCs w:val="20"/>
          <w:vertAlign w:val="superscript"/>
        </w:rPr>
        <w:footnoteReference w:id="292"/>
      </w:r>
      <w:r w:rsidR="00F80188" w:rsidRPr="00E54204">
        <w:rPr>
          <w:szCs w:val="20"/>
        </w:rPr>
        <w:t xml:space="preserve">  </w:t>
      </w:r>
      <w:r w:rsidR="002C502B" w:rsidRPr="00E54204">
        <w:rPr>
          <w:szCs w:val="20"/>
        </w:rPr>
        <w:t>There are a</w:t>
      </w:r>
      <w:r w:rsidRPr="00E54204">
        <w:rPr>
          <w:szCs w:val="20"/>
        </w:rPr>
        <w:t xml:space="preserve"> total</w:t>
      </w:r>
      <w:r w:rsidR="002C502B" w:rsidRPr="00E54204">
        <w:rPr>
          <w:szCs w:val="20"/>
        </w:rPr>
        <w:t xml:space="preserve"> of seventy</w:t>
      </w:r>
      <w:r w:rsidR="009E315C" w:rsidRPr="00E54204">
        <w:rPr>
          <w:szCs w:val="20"/>
        </w:rPr>
        <w:t xml:space="preserve"> references, </w:t>
      </w:r>
      <w:r w:rsidR="007501B1" w:rsidRPr="00E54204">
        <w:rPr>
          <w:szCs w:val="20"/>
        </w:rPr>
        <w:t>including</w:t>
      </w:r>
      <w:r w:rsidR="009E315C" w:rsidRPr="00E54204">
        <w:rPr>
          <w:szCs w:val="20"/>
        </w:rPr>
        <w:t xml:space="preserve"> nine repeated stories,</w:t>
      </w:r>
      <w:r w:rsidRPr="00E54204">
        <w:rPr>
          <w:szCs w:val="20"/>
        </w:rPr>
        <w:t xml:space="preserve"> to the</w:t>
      </w:r>
      <w:r w:rsidR="002C502B" w:rsidRPr="00E54204">
        <w:rPr>
          <w:szCs w:val="20"/>
        </w:rPr>
        <w:t xml:space="preserve"> Hebrew,</w:t>
      </w:r>
      <w:r w:rsidRPr="00E54204">
        <w:rPr>
          <w:szCs w:val="20"/>
        </w:rPr>
        <w:t xml:space="preserve"> </w:t>
      </w:r>
      <w:r w:rsidRPr="00E54204">
        <w:rPr>
          <w:i/>
          <w:szCs w:val="20"/>
        </w:rPr>
        <w:t>bat kol</w:t>
      </w:r>
      <w:r w:rsidR="002C502B" w:rsidRPr="00E54204">
        <w:rPr>
          <w:szCs w:val="20"/>
        </w:rPr>
        <w:t xml:space="preserve">, and the Aramaic, </w:t>
      </w:r>
      <w:r w:rsidR="002C502B" w:rsidRPr="00E54204">
        <w:rPr>
          <w:i/>
          <w:szCs w:val="20"/>
        </w:rPr>
        <w:t>bat kala</w:t>
      </w:r>
      <w:r w:rsidR="002C502B" w:rsidRPr="00E54204">
        <w:rPr>
          <w:szCs w:val="20"/>
        </w:rPr>
        <w:t>,</w:t>
      </w:r>
      <w:r w:rsidRPr="00E54204">
        <w:rPr>
          <w:szCs w:val="20"/>
        </w:rPr>
        <w:t xml:space="preserve"> in t</w:t>
      </w:r>
      <w:r w:rsidR="00F80188" w:rsidRPr="00E54204">
        <w:rPr>
          <w:szCs w:val="20"/>
        </w:rPr>
        <w:t>he Babylonian Talmud, and corres</w:t>
      </w:r>
      <w:r w:rsidR="009E315C" w:rsidRPr="00E54204">
        <w:rPr>
          <w:szCs w:val="20"/>
        </w:rPr>
        <w:t>pondingly,</w:t>
      </w:r>
      <w:r w:rsidR="00F80188" w:rsidRPr="00E54204">
        <w:rPr>
          <w:szCs w:val="20"/>
        </w:rPr>
        <w:t xml:space="preserve"> twenty-four</w:t>
      </w:r>
      <w:r w:rsidRPr="00E54204">
        <w:rPr>
          <w:szCs w:val="20"/>
        </w:rPr>
        <w:t xml:space="preserve"> in its Jerusalem counterpart.</w:t>
      </w:r>
      <w:r w:rsidRPr="00E54204">
        <w:rPr>
          <w:szCs w:val="20"/>
          <w:vertAlign w:val="superscript"/>
        </w:rPr>
        <w:footnoteReference w:id="293"/>
      </w:r>
      <w:r w:rsidR="00F80188" w:rsidRPr="00E54204">
        <w:rPr>
          <w:szCs w:val="20"/>
        </w:rPr>
        <w:t xml:space="preserve">  </w:t>
      </w:r>
      <w:r w:rsidRPr="00E54204">
        <w:rPr>
          <w:szCs w:val="20"/>
        </w:rPr>
        <w:t xml:space="preserve">In short, it seems that the activity of the </w:t>
      </w:r>
      <w:r w:rsidRPr="00E54204">
        <w:rPr>
          <w:i/>
          <w:szCs w:val="20"/>
        </w:rPr>
        <w:t>bat kol</w:t>
      </w:r>
      <w:r w:rsidRPr="00E54204">
        <w:rPr>
          <w:szCs w:val="20"/>
        </w:rPr>
        <w:t xml:space="preserve"> was first recorded during the time the sages were living in the land of Israel in the first couple of hundred years of the Common Era.</w:t>
      </w:r>
      <w:r w:rsidRPr="00E54204">
        <w:rPr>
          <w:szCs w:val="20"/>
          <w:vertAlign w:val="superscript"/>
        </w:rPr>
        <w:footnoteReference w:id="294"/>
      </w:r>
      <w:r w:rsidRPr="00E54204">
        <w:rPr>
          <w:szCs w:val="20"/>
        </w:rPr>
        <w:t xml:space="preserve">  </w:t>
      </w:r>
    </w:p>
    <w:p w14:paraId="330B7738" w14:textId="77777777" w:rsidR="0051186E" w:rsidRPr="00E54204" w:rsidRDefault="00EC3E93" w:rsidP="006E723D">
      <w:pPr>
        <w:spacing w:after="160"/>
        <w:ind w:firstLine="720"/>
        <w:rPr>
          <w:szCs w:val="20"/>
        </w:rPr>
      </w:pPr>
      <w:r w:rsidRPr="00E54204">
        <w:rPr>
          <w:szCs w:val="20"/>
        </w:rPr>
        <w:t>The Jerusalem</w:t>
      </w:r>
      <w:r w:rsidR="00ED18D8" w:rsidRPr="00E54204">
        <w:rPr>
          <w:szCs w:val="20"/>
        </w:rPr>
        <w:t xml:space="preserve"> Talmu</w:t>
      </w:r>
      <w:r w:rsidR="0067079A" w:rsidRPr="00E54204">
        <w:rPr>
          <w:szCs w:val="20"/>
        </w:rPr>
        <w:t>d consists of</w:t>
      </w:r>
      <w:r w:rsidR="00ED18D8" w:rsidRPr="00E54204">
        <w:rPr>
          <w:szCs w:val="20"/>
        </w:rPr>
        <w:t xml:space="preserve"> laws pertaining to</w:t>
      </w:r>
      <w:r w:rsidR="003273C6" w:rsidRPr="00E54204">
        <w:rPr>
          <w:szCs w:val="20"/>
        </w:rPr>
        <w:t xml:space="preserve"> Jewish</w:t>
      </w:r>
      <w:r w:rsidR="00ED18D8" w:rsidRPr="00E54204">
        <w:rPr>
          <w:szCs w:val="20"/>
        </w:rPr>
        <w:t xml:space="preserve"> Palestine and its agriculture.</w:t>
      </w:r>
      <w:r w:rsidR="00ED18D8" w:rsidRPr="00E54204">
        <w:rPr>
          <w:szCs w:val="20"/>
          <w:vertAlign w:val="superscript"/>
        </w:rPr>
        <w:footnoteReference w:id="295"/>
      </w:r>
      <w:r w:rsidR="00ED18D8" w:rsidRPr="00E54204">
        <w:rPr>
          <w:szCs w:val="20"/>
        </w:rPr>
        <w:t xml:space="preserve">  </w:t>
      </w:r>
      <w:r w:rsidR="0044143A" w:rsidRPr="00E54204">
        <w:rPr>
          <w:szCs w:val="20"/>
        </w:rPr>
        <w:t>According to Adin Steinsaltz, factors such</w:t>
      </w:r>
      <w:r w:rsidR="006941DA" w:rsidRPr="00E54204">
        <w:rPr>
          <w:szCs w:val="20"/>
        </w:rPr>
        <w:t xml:space="preserve"> as</w:t>
      </w:r>
      <w:r w:rsidR="0044143A" w:rsidRPr="00E54204">
        <w:rPr>
          <w:szCs w:val="20"/>
        </w:rPr>
        <w:t xml:space="preserve"> the economic instability of the Roman Empire, the ri</w:t>
      </w:r>
      <w:r w:rsidR="00EC7DC1" w:rsidRPr="00E54204">
        <w:rPr>
          <w:szCs w:val="20"/>
        </w:rPr>
        <w:t xml:space="preserve">se of Christianity, contributed to the </w:t>
      </w:r>
      <w:r w:rsidR="0044143A" w:rsidRPr="00E54204">
        <w:rPr>
          <w:szCs w:val="20"/>
        </w:rPr>
        <w:t>gradual decline of</w:t>
      </w:r>
      <w:r w:rsidR="00EC7DC1" w:rsidRPr="00E54204">
        <w:rPr>
          <w:szCs w:val="20"/>
        </w:rPr>
        <w:t xml:space="preserve"> Jewish self-government, and consequently, </w:t>
      </w:r>
      <w:r w:rsidR="0044143A" w:rsidRPr="00E54204">
        <w:rPr>
          <w:szCs w:val="20"/>
        </w:rPr>
        <w:t>scholarship in the land.</w:t>
      </w:r>
      <w:r w:rsidR="0044143A" w:rsidRPr="00E54204">
        <w:rPr>
          <w:rStyle w:val="FootnoteReference"/>
          <w:szCs w:val="20"/>
        </w:rPr>
        <w:footnoteReference w:id="296"/>
      </w:r>
      <w:r w:rsidR="0051186E" w:rsidRPr="00E54204">
        <w:rPr>
          <w:szCs w:val="20"/>
        </w:rPr>
        <w:t xml:space="preserve">  This is why</w:t>
      </w:r>
      <w:r w:rsidR="006941DA" w:rsidRPr="00E54204">
        <w:rPr>
          <w:szCs w:val="20"/>
        </w:rPr>
        <w:t xml:space="preserve"> </w:t>
      </w:r>
      <w:r w:rsidR="0044143A" w:rsidRPr="00E54204">
        <w:rPr>
          <w:szCs w:val="20"/>
        </w:rPr>
        <w:t>the Jerusalem Talmud</w:t>
      </w:r>
      <w:r w:rsidR="00ED18D8" w:rsidRPr="00E54204">
        <w:rPr>
          <w:szCs w:val="20"/>
        </w:rPr>
        <w:t xml:space="preserve"> was never</w:t>
      </w:r>
      <w:r w:rsidR="0044143A" w:rsidRPr="00E54204">
        <w:rPr>
          <w:szCs w:val="20"/>
        </w:rPr>
        <w:t xml:space="preserve"> really formally edited</w:t>
      </w:r>
      <w:r w:rsidR="006941DA" w:rsidRPr="00E54204">
        <w:rPr>
          <w:szCs w:val="20"/>
        </w:rPr>
        <w:t xml:space="preserve"> as evidenced by its weak transitions between and within sections and parallel discussions appearing in separate places without cross references to each other and sometimes duplicating and contradicting each other.</w:t>
      </w:r>
      <w:r w:rsidR="006941DA" w:rsidRPr="00E54204">
        <w:rPr>
          <w:rStyle w:val="FootnoteReference"/>
          <w:szCs w:val="20"/>
        </w:rPr>
        <w:footnoteReference w:id="297"/>
      </w:r>
      <w:r w:rsidR="0051186E" w:rsidRPr="00E54204">
        <w:rPr>
          <w:szCs w:val="20"/>
        </w:rPr>
        <w:t xml:space="preserve">  I</w:t>
      </w:r>
      <w:r w:rsidR="006941DA" w:rsidRPr="00E54204">
        <w:rPr>
          <w:szCs w:val="20"/>
        </w:rPr>
        <w:t xml:space="preserve">t </w:t>
      </w:r>
      <w:r w:rsidR="00ED18D8" w:rsidRPr="00E54204">
        <w:rPr>
          <w:szCs w:val="20"/>
        </w:rPr>
        <w:t xml:space="preserve">never reached the popularity of the massive and punctiliously edited Babylonian Talmud.  </w:t>
      </w:r>
    </w:p>
    <w:p w14:paraId="59E97C54" w14:textId="77777777" w:rsidR="00ED18D8" w:rsidRPr="00E54204" w:rsidRDefault="00ED18D8" w:rsidP="006E723D">
      <w:pPr>
        <w:spacing w:after="160"/>
        <w:ind w:firstLine="720"/>
        <w:rPr>
          <w:szCs w:val="20"/>
        </w:rPr>
      </w:pPr>
      <w:r w:rsidRPr="00E54204">
        <w:rPr>
          <w:szCs w:val="20"/>
        </w:rPr>
        <w:t>The Palestinian Talmud als</w:t>
      </w:r>
      <w:r w:rsidR="0051186E" w:rsidRPr="00E54204">
        <w:rPr>
          <w:szCs w:val="20"/>
        </w:rPr>
        <w:t xml:space="preserve">o contains very little </w:t>
      </w:r>
      <w:r w:rsidR="0051186E" w:rsidRPr="00E54204">
        <w:rPr>
          <w:i/>
          <w:szCs w:val="20"/>
        </w:rPr>
        <w:t>Haggadic</w:t>
      </w:r>
      <w:r w:rsidRPr="00E54204">
        <w:rPr>
          <w:szCs w:val="20"/>
        </w:rPr>
        <w:t xml:space="preserve"> material,</w:t>
      </w:r>
      <w:r w:rsidR="0051186E" w:rsidRPr="00E54204">
        <w:rPr>
          <w:szCs w:val="20"/>
        </w:rPr>
        <w:t xml:space="preserve"> though it was</w:t>
      </w:r>
      <w:r w:rsidRPr="00E54204">
        <w:rPr>
          <w:szCs w:val="20"/>
        </w:rPr>
        <w:t xml:space="preserve"> a favorite topic among the Palestinian rabbis, particularly for its capacity to induce hope in the midst of arduous rel</w:t>
      </w:r>
      <w:r w:rsidR="0051186E" w:rsidRPr="00E54204">
        <w:rPr>
          <w:szCs w:val="20"/>
        </w:rPr>
        <w:t xml:space="preserve">igious and political challenges; it was collated by later generation of scholars in what are known as </w:t>
      </w:r>
      <w:r w:rsidR="0051186E" w:rsidRPr="00E54204">
        <w:rPr>
          <w:i/>
          <w:szCs w:val="20"/>
        </w:rPr>
        <w:t>Midrashei Haggadah</w:t>
      </w:r>
      <w:r w:rsidR="0051186E" w:rsidRPr="00E54204">
        <w:rPr>
          <w:szCs w:val="20"/>
        </w:rPr>
        <w:t xml:space="preserve"> (aggadic exegeses).</w:t>
      </w:r>
      <w:r w:rsidR="0051186E" w:rsidRPr="00E54204">
        <w:rPr>
          <w:rStyle w:val="FootnoteReference"/>
          <w:szCs w:val="20"/>
        </w:rPr>
        <w:footnoteReference w:id="298"/>
      </w:r>
      <w:r w:rsidRPr="00E54204">
        <w:rPr>
          <w:szCs w:val="20"/>
        </w:rPr>
        <w:t xml:space="preserve">  The Mishnah, the first majo</w:t>
      </w:r>
      <w:r w:rsidR="0051186E" w:rsidRPr="00E54204">
        <w:rPr>
          <w:szCs w:val="20"/>
        </w:rPr>
        <w:t>r rabbinic work was compiled</w:t>
      </w:r>
      <w:r w:rsidRPr="00E54204">
        <w:rPr>
          <w:szCs w:val="20"/>
        </w:rPr>
        <w:t xml:space="preserve"> by R. Judah Ha-Nasi around 200 CE.</w:t>
      </w:r>
      <w:r w:rsidRPr="00E54204">
        <w:rPr>
          <w:szCs w:val="20"/>
          <w:vertAlign w:val="superscript"/>
        </w:rPr>
        <w:footnoteReference w:id="299"/>
      </w:r>
      <w:r w:rsidRPr="00E54204">
        <w:rPr>
          <w:szCs w:val="20"/>
        </w:rPr>
        <w:t xml:space="preserve">   I</w:t>
      </w:r>
      <w:r w:rsidR="0051186E" w:rsidRPr="00E54204">
        <w:rPr>
          <w:szCs w:val="20"/>
        </w:rPr>
        <w:t>t was upon the organizational structure of the Mishnah</w:t>
      </w:r>
      <w:r w:rsidRPr="00E54204">
        <w:rPr>
          <w:szCs w:val="20"/>
        </w:rPr>
        <w:t xml:space="preserve"> that </w:t>
      </w:r>
      <w:r w:rsidR="0051186E" w:rsidRPr="00E54204">
        <w:rPr>
          <w:szCs w:val="20"/>
        </w:rPr>
        <w:t>the editors of the Bavli formulated their work</w:t>
      </w:r>
      <w:r w:rsidRPr="00E54204">
        <w:rPr>
          <w:szCs w:val="20"/>
        </w:rPr>
        <w:t>.</w:t>
      </w:r>
      <w:r w:rsidRPr="00E54204">
        <w:rPr>
          <w:szCs w:val="20"/>
          <w:vertAlign w:val="superscript"/>
        </w:rPr>
        <w:footnoteReference w:id="300"/>
      </w:r>
      <w:r w:rsidR="0036446F" w:rsidRPr="00E54204">
        <w:rPr>
          <w:szCs w:val="20"/>
        </w:rPr>
        <w:t xml:space="preserve">  After the patriarch’s</w:t>
      </w:r>
      <w:r w:rsidRPr="00E54204">
        <w:rPr>
          <w:szCs w:val="20"/>
        </w:rPr>
        <w:t xml:space="preserve"> death, no one was believed to be qualified enough to succeed him which in turn contributed to the destabilization of the movement in</w:t>
      </w:r>
      <w:r w:rsidR="003273C6" w:rsidRPr="00E54204">
        <w:rPr>
          <w:szCs w:val="20"/>
        </w:rPr>
        <w:t xml:space="preserve"> Jewish</w:t>
      </w:r>
      <w:r w:rsidRPr="00E54204">
        <w:rPr>
          <w:szCs w:val="20"/>
        </w:rPr>
        <w:t xml:space="preserve"> Palestine.  In addition, deteriorating political and economic circumstances in the land increased its weakened state.</w:t>
      </w:r>
      <w:r w:rsidRPr="00E54204">
        <w:rPr>
          <w:szCs w:val="20"/>
          <w:vertAlign w:val="superscript"/>
        </w:rPr>
        <w:footnoteReference w:id="301"/>
      </w:r>
      <w:r w:rsidRPr="00E54204">
        <w:rPr>
          <w:szCs w:val="20"/>
        </w:rPr>
        <w:t xml:space="preserve">  This socio-economic and religious decline in the land spurred the growth of the rabbinical movement in Babylon.  </w:t>
      </w:r>
    </w:p>
    <w:p w14:paraId="6D538C50" w14:textId="77777777" w:rsidR="00ED18D8" w:rsidRPr="00E54204" w:rsidRDefault="00ED18D8" w:rsidP="006E723D">
      <w:pPr>
        <w:spacing w:after="160"/>
        <w:ind w:firstLine="720"/>
        <w:rPr>
          <w:szCs w:val="20"/>
        </w:rPr>
      </w:pPr>
      <w:r w:rsidRPr="00E54204">
        <w:rPr>
          <w:szCs w:val="20"/>
        </w:rPr>
        <w:t>As Adin Steinsal</w:t>
      </w:r>
      <w:r w:rsidR="0036446F" w:rsidRPr="00E54204">
        <w:rPr>
          <w:szCs w:val="20"/>
        </w:rPr>
        <w:t>tz eloquently expressed, “I</w:t>
      </w:r>
      <w:r w:rsidRPr="00E54204">
        <w:rPr>
          <w:szCs w:val="20"/>
        </w:rPr>
        <w:t>f the Bible is the cornerstone of Judaism, then the Talmud is the central pillar, soaring up from the foundations and supporting the entire spiritual and intellectual edifice.”</w:t>
      </w:r>
      <w:r w:rsidRPr="00E54204">
        <w:rPr>
          <w:szCs w:val="20"/>
          <w:vertAlign w:val="superscript"/>
        </w:rPr>
        <w:footnoteReference w:id="302"/>
      </w:r>
      <w:r w:rsidRPr="00E54204">
        <w:rPr>
          <w:szCs w:val="20"/>
        </w:rPr>
        <w:t xml:space="preserve">  Its importance for Judaism cannot be overstated.  </w:t>
      </w:r>
      <w:r w:rsidR="00767E38" w:rsidRPr="00E54204">
        <w:rPr>
          <w:szCs w:val="20"/>
        </w:rPr>
        <w:t xml:space="preserve">The </w:t>
      </w:r>
      <w:r w:rsidRPr="00E54204">
        <w:rPr>
          <w:szCs w:val="20"/>
        </w:rPr>
        <w:t>Babylon</w:t>
      </w:r>
      <w:r w:rsidR="00767E38" w:rsidRPr="00E54204">
        <w:rPr>
          <w:szCs w:val="20"/>
        </w:rPr>
        <w:t xml:space="preserve">ian rabbis </w:t>
      </w:r>
      <w:r w:rsidRPr="00E54204">
        <w:rPr>
          <w:szCs w:val="20"/>
        </w:rPr>
        <w:t>lived during the rise t</w:t>
      </w:r>
      <w:r w:rsidR="00767E38" w:rsidRPr="00E54204">
        <w:rPr>
          <w:szCs w:val="20"/>
        </w:rPr>
        <w:t>o power of the Sassanian Empire,</w:t>
      </w:r>
      <w:r w:rsidRPr="00E54204">
        <w:rPr>
          <w:szCs w:val="20"/>
          <w:vertAlign w:val="superscript"/>
        </w:rPr>
        <w:footnoteReference w:id="303"/>
      </w:r>
      <w:r w:rsidR="00767E38" w:rsidRPr="00E54204">
        <w:rPr>
          <w:szCs w:val="20"/>
        </w:rPr>
        <w:t xml:space="preserve"> and </w:t>
      </w:r>
      <w:r w:rsidRPr="00E54204">
        <w:rPr>
          <w:szCs w:val="20"/>
        </w:rPr>
        <w:t>are credited with having compiled and edited the Babylonian Talmud.  The Talmudic corpus can be broken down into four important componen</w:t>
      </w:r>
      <w:r w:rsidR="00554181" w:rsidRPr="00E54204">
        <w:rPr>
          <w:szCs w:val="20"/>
        </w:rPr>
        <w:t xml:space="preserve">ts as noted by Richard Kalmin: </w:t>
      </w:r>
      <w:r w:rsidR="004B512C" w:rsidRPr="00E54204">
        <w:rPr>
          <w:i/>
          <w:szCs w:val="20"/>
        </w:rPr>
        <w:t>Halac</w:t>
      </w:r>
      <w:r w:rsidRPr="00E54204">
        <w:rPr>
          <w:i/>
          <w:szCs w:val="20"/>
        </w:rPr>
        <w:t>hic</w:t>
      </w:r>
      <w:r w:rsidRPr="00E54204">
        <w:rPr>
          <w:szCs w:val="20"/>
        </w:rPr>
        <w:t xml:space="preserve"> (legal</w:t>
      </w:r>
      <w:r w:rsidR="00554181" w:rsidRPr="00E54204">
        <w:rPr>
          <w:szCs w:val="20"/>
        </w:rPr>
        <w:t xml:space="preserve"> instruction</w:t>
      </w:r>
      <w:r w:rsidRPr="00E54204">
        <w:rPr>
          <w:szCs w:val="20"/>
        </w:rPr>
        <w:t xml:space="preserve">) statements, </w:t>
      </w:r>
      <w:r w:rsidRPr="00E54204">
        <w:rPr>
          <w:i/>
          <w:szCs w:val="20"/>
        </w:rPr>
        <w:t>Haggadot</w:t>
      </w:r>
      <w:r w:rsidR="00554181" w:rsidRPr="00E54204">
        <w:rPr>
          <w:szCs w:val="20"/>
        </w:rPr>
        <w:t xml:space="preserve"> (</w:t>
      </w:r>
      <w:r w:rsidRPr="00E54204">
        <w:rPr>
          <w:szCs w:val="20"/>
        </w:rPr>
        <w:t>lore), interpretations of earlier sources, and objections and questions about opinions expressed by other rabbis.</w:t>
      </w:r>
      <w:r w:rsidRPr="00E54204">
        <w:rPr>
          <w:szCs w:val="20"/>
          <w:vertAlign w:val="superscript"/>
        </w:rPr>
        <w:footnoteReference w:id="304"/>
      </w:r>
      <w:r w:rsidRPr="00E54204">
        <w:rPr>
          <w:szCs w:val="20"/>
        </w:rPr>
        <w:t xml:space="preserve">  The focus of this study centers mostly upon the </w:t>
      </w:r>
      <w:r w:rsidR="00332B87" w:rsidRPr="00E54204">
        <w:rPr>
          <w:i/>
          <w:szCs w:val="20"/>
        </w:rPr>
        <w:t>Haggadic</w:t>
      </w:r>
      <w:r w:rsidRPr="00E54204">
        <w:rPr>
          <w:i/>
          <w:szCs w:val="20"/>
        </w:rPr>
        <w:t xml:space="preserve"> </w:t>
      </w:r>
      <w:r w:rsidRPr="00E54204">
        <w:rPr>
          <w:szCs w:val="20"/>
        </w:rPr>
        <w:t>portions which contain accounts of the supernatural transmissions from heaven.</w:t>
      </w:r>
    </w:p>
    <w:p w14:paraId="393AC52F" w14:textId="77777777" w:rsidR="00ED18D8" w:rsidRPr="00E54204" w:rsidRDefault="00D33F2F" w:rsidP="00A81876">
      <w:pPr>
        <w:spacing w:after="160"/>
        <w:rPr>
          <w:szCs w:val="20"/>
        </w:rPr>
      </w:pPr>
      <w:r w:rsidRPr="00E54204">
        <w:rPr>
          <w:szCs w:val="20"/>
        </w:rPr>
        <w:tab/>
        <w:t xml:space="preserve">My approach to these stories </w:t>
      </w:r>
      <w:r w:rsidR="003855E9" w:rsidRPr="00E54204">
        <w:rPr>
          <w:szCs w:val="20"/>
        </w:rPr>
        <w:t xml:space="preserve">is a </w:t>
      </w:r>
      <w:r w:rsidR="00ED18D8" w:rsidRPr="00E54204">
        <w:rPr>
          <w:szCs w:val="20"/>
        </w:rPr>
        <w:t>descriptive one, paying attention to literary features like themes, language, structure, and parallels.</w:t>
      </w:r>
      <w:r w:rsidR="00ED18D8" w:rsidRPr="00E54204">
        <w:rPr>
          <w:szCs w:val="20"/>
          <w:vertAlign w:val="superscript"/>
        </w:rPr>
        <w:footnoteReference w:id="305"/>
      </w:r>
      <w:r w:rsidR="003855E9" w:rsidRPr="00E54204">
        <w:rPr>
          <w:szCs w:val="20"/>
        </w:rPr>
        <w:t xml:space="preserve">  </w:t>
      </w:r>
      <w:r w:rsidR="00ED18D8" w:rsidRPr="00E54204">
        <w:rPr>
          <w:szCs w:val="20"/>
        </w:rPr>
        <w:t>Moreover, any possible signs of redaction,</w:t>
      </w:r>
      <w:r w:rsidR="003855E9" w:rsidRPr="00E54204">
        <w:rPr>
          <w:szCs w:val="20"/>
        </w:rPr>
        <w:t xml:space="preserve"> such as editing that adds </w:t>
      </w:r>
      <w:r w:rsidR="00D4666D" w:rsidRPr="00E54204">
        <w:rPr>
          <w:szCs w:val="20"/>
        </w:rPr>
        <w:t xml:space="preserve">or takes away details to </w:t>
      </w:r>
      <w:r w:rsidR="00CB7194" w:rsidRPr="00E54204">
        <w:rPr>
          <w:szCs w:val="20"/>
        </w:rPr>
        <w:t>the material</w:t>
      </w:r>
      <w:r w:rsidR="003855E9" w:rsidRPr="00E54204">
        <w:rPr>
          <w:szCs w:val="20"/>
        </w:rPr>
        <w:t>,</w:t>
      </w:r>
      <w:r w:rsidR="00ED18D8" w:rsidRPr="00E54204">
        <w:rPr>
          <w:szCs w:val="20"/>
        </w:rPr>
        <w:t xml:space="preserve"> though widely maintained by scholars in various degrees and ways, ultimately remains hypothetical, as means of verification are practically non-existent.  Catherine Hezser has noted how impossible it is to retrieve the “original” story since these and or traditions circulated for hundreds of years orally prior to being redacted and edited, in addition to having been adapted in numerous c</w:t>
      </w:r>
      <w:r w:rsidR="003855E9" w:rsidRPr="00E54204">
        <w:rPr>
          <w:szCs w:val="20"/>
        </w:rPr>
        <w:t>ontexts and for various reasons; for all the</w:t>
      </w:r>
      <w:r w:rsidR="00ED18D8" w:rsidRPr="00E54204">
        <w:rPr>
          <w:szCs w:val="20"/>
        </w:rPr>
        <w:t>s</w:t>
      </w:r>
      <w:r w:rsidR="003855E9" w:rsidRPr="00E54204">
        <w:rPr>
          <w:szCs w:val="20"/>
        </w:rPr>
        <w:t>e</w:t>
      </w:r>
      <w:r w:rsidR="00ED18D8" w:rsidRPr="00E54204">
        <w:rPr>
          <w:szCs w:val="20"/>
        </w:rPr>
        <w:t xml:space="preserve"> </w:t>
      </w:r>
      <w:r w:rsidR="003855E9" w:rsidRPr="00E54204">
        <w:rPr>
          <w:szCs w:val="20"/>
        </w:rPr>
        <w:t xml:space="preserve">reasons it very difficult to identify original material, rather than later reworked data, </w:t>
      </w:r>
      <w:r w:rsidR="00ED18D8" w:rsidRPr="00E54204">
        <w:rPr>
          <w:szCs w:val="20"/>
        </w:rPr>
        <w:t>with any degree of certainty.</w:t>
      </w:r>
      <w:r w:rsidR="00ED18D8" w:rsidRPr="00E54204">
        <w:rPr>
          <w:szCs w:val="20"/>
          <w:vertAlign w:val="superscript"/>
        </w:rPr>
        <w:footnoteReference w:id="306"/>
      </w:r>
      <w:r w:rsidR="00ED18D8" w:rsidRPr="00E54204">
        <w:rPr>
          <w:szCs w:val="20"/>
        </w:rPr>
        <w:t xml:space="preserve">  </w:t>
      </w:r>
    </w:p>
    <w:p w14:paraId="1EAB7A1D" w14:textId="77777777" w:rsidR="00ED18D8" w:rsidRPr="00E54204" w:rsidRDefault="00F83D13" w:rsidP="00ED18D8">
      <w:pPr>
        <w:spacing w:after="160"/>
        <w:rPr>
          <w:szCs w:val="20"/>
        </w:rPr>
      </w:pPr>
      <w:r w:rsidRPr="00E54204">
        <w:rPr>
          <w:szCs w:val="20"/>
        </w:rPr>
        <w:t>B.</w:t>
      </w:r>
      <w:r w:rsidRPr="00E54204">
        <w:rPr>
          <w:szCs w:val="20"/>
        </w:rPr>
        <w:tab/>
      </w:r>
      <w:r w:rsidR="00ED18D8" w:rsidRPr="00E54204">
        <w:rPr>
          <w:i/>
          <w:szCs w:val="20"/>
        </w:rPr>
        <w:t>Haggadah</w:t>
      </w:r>
      <w:r w:rsidR="0030108B" w:rsidRPr="00E54204">
        <w:rPr>
          <w:i/>
          <w:szCs w:val="20"/>
        </w:rPr>
        <w:t>:</w:t>
      </w:r>
    </w:p>
    <w:p w14:paraId="33785C70" w14:textId="77777777" w:rsidR="00ED18D8" w:rsidRPr="00E54204" w:rsidRDefault="00ED18D8" w:rsidP="006E723D">
      <w:pPr>
        <w:spacing w:after="160"/>
        <w:ind w:firstLine="720"/>
        <w:rPr>
          <w:szCs w:val="20"/>
        </w:rPr>
      </w:pPr>
      <w:r w:rsidRPr="00E54204">
        <w:rPr>
          <w:szCs w:val="20"/>
        </w:rPr>
        <w:t>As</w:t>
      </w:r>
      <w:r w:rsidR="006D4DD3" w:rsidRPr="00E54204">
        <w:rPr>
          <w:szCs w:val="20"/>
        </w:rPr>
        <w:t xml:space="preserve"> stated previously</w:t>
      </w:r>
      <w:r w:rsidRPr="00E54204">
        <w:rPr>
          <w:szCs w:val="20"/>
        </w:rPr>
        <w:t xml:space="preserve">, </w:t>
      </w:r>
      <w:r w:rsidRPr="00E54204">
        <w:rPr>
          <w:i/>
          <w:szCs w:val="20"/>
        </w:rPr>
        <w:t>Haggadah</w:t>
      </w:r>
      <w:r w:rsidRPr="00E54204">
        <w:rPr>
          <w:szCs w:val="20"/>
        </w:rPr>
        <w:t xml:space="preserve"> was a major component of rabbinical thought, particularly during Talmudic times.  Its origins are ascribed to t</w:t>
      </w:r>
      <w:r w:rsidR="003273C6" w:rsidRPr="00E54204">
        <w:rPr>
          <w:szCs w:val="20"/>
        </w:rPr>
        <w:t>he Jewish community in the land of Israel</w:t>
      </w:r>
      <w:r w:rsidRPr="00E54204">
        <w:rPr>
          <w:szCs w:val="20"/>
        </w:rPr>
        <w:t>, and grew and developed for more than a millennium.</w:t>
      </w:r>
      <w:r w:rsidRPr="00E54204">
        <w:rPr>
          <w:szCs w:val="20"/>
          <w:vertAlign w:val="superscript"/>
        </w:rPr>
        <w:footnoteReference w:id="307"/>
      </w:r>
      <w:r w:rsidRPr="00E54204">
        <w:rPr>
          <w:szCs w:val="20"/>
        </w:rPr>
        <w:t xml:space="preserve">  Furthermore it was birthed in the mi</w:t>
      </w:r>
      <w:r w:rsidR="006D4DD3" w:rsidRPr="00E54204">
        <w:rPr>
          <w:szCs w:val="20"/>
        </w:rPr>
        <w:t>d</w:t>
      </w:r>
      <w:r w:rsidRPr="00E54204">
        <w:rPr>
          <w:szCs w:val="20"/>
        </w:rPr>
        <w:t>st of shifting political and social realities in antiquity such as the destruction of the Temple in 70 CE and the increase of taxes.  The r</w:t>
      </w:r>
      <w:r w:rsidR="008836C7" w:rsidRPr="00E54204">
        <w:rPr>
          <w:szCs w:val="20"/>
        </w:rPr>
        <w:t xml:space="preserve">abbis sought a new method to interpret </w:t>
      </w:r>
      <w:r w:rsidRPr="00E54204">
        <w:rPr>
          <w:szCs w:val="20"/>
        </w:rPr>
        <w:t>Scripture which would permit them to address the pressing needs of their day.</w:t>
      </w:r>
      <w:r w:rsidRPr="00E54204">
        <w:rPr>
          <w:szCs w:val="20"/>
          <w:vertAlign w:val="superscript"/>
        </w:rPr>
        <w:footnoteReference w:id="308"/>
      </w:r>
      <w:r w:rsidRPr="00E54204">
        <w:rPr>
          <w:szCs w:val="20"/>
        </w:rPr>
        <w:t xml:space="preserve">  Though it is unclear how this term came to be id</w:t>
      </w:r>
      <w:r w:rsidR="008836C7" w:rsidRPr="00E54204">
        <w:rPr>
          <w:szCs w:val="20"/>
        </w:rPr>
        <w:t>entified with certain literary works</w:t>
      </w:r>
      <w:r w:rsidRPr="00E54204">
        <w:rPr>
          <w:szCs w:val="20"/>
        </w:rPr>
        <w:t xml:space="preserve">, its name appears to derive from the Hebrew verb </w:t>
      </w:r>
      <w:r w:rsidRPr="00E54204">
        <w:rPr>
          <w:i/>
          <w:szCs w:val="20"/>
        </w:rPr>
        <w:t>le-haggid</w:t>
      </w:r>
      <w:r w:rsidRPr="00E54204">
        <w:rPr>
          <w:szCs w:val="20"/>
        </w:rPr>
        <w:t xml:space="preserve"> which means “to tell” or “to say” which rightly points to its oral texture.</w:t>
      </w:r>
      <w:r w:rsidRPr="00E54204">
        <w:rPr>
          <w:szCs w:val="20"/>
          <w:vertAlign w:val="superscript"/>
        </w:rPr>
        <w:footnoteReference w:id="309"/>
      </w:r>
      <w:r w:rsidRPr="00E54204">
        <w:rPr>
          <w:szCs w:val="20"/>
        </w:rPr>
        <w:t xml:space="preserve"> Indeed, it was originally employed at the synagogues each Sabbath during the sermon to the people.  For this reason, the rabbis sought to make </w:t>
      </w:r>
      <w:r w:rsidR="00B40E5A" w:rsidRPr="00E54204">
        <w:rPr>
          <w:i/>
          <w:szCs w:val="20"/>
        </w:rPr>
        <w:t>H</w:t>
      </w:r>
      <w:r w:rsidRPr="00E54204">
        <w:rPr>
          <w:i/>
          <w:szCs w:val="20"/>
        </w:rPr>
        <w:t>aggadot</w:t>
      </w:r>
      <w:r w:rsidRPr="00E54204">
        <w:rPr>
          <w:szCs w:val="20"/>
        </w:rPr>
        <w:t xml:space="preserve"> memorable and attractive stories for their audiences.</w:t>
      </w:r>
      <w:r w:rsidRPr="00E54204">
        <w:rPr>
          <w:szCs w:val="20"/>
          <w:vertAlign w:val="superscript"/>
        </w:rPr>
        <w:footnoteReference w:id="310"/>
      </w:r>
      <w:r w:rsidRPr="00E54204">
        <w:rPr>
          <w:szCs w:val="20"/>
        </w:rPr>
        <w:t xml:space="preserve">  Joseph Heinemann notes that this granted </w:t>
      </w:r>
      <w:r w:rsidRPr="00E54204">
        <w:rPr>
          <w:i/>
          <w:szCs w:val="20"/>
        </w:rPr>
        <w:t xml:space="preserve">Haggadah </w:t>
      </w:r>
      <w:r w:rsidRPr="00E54204">
        <w:rPr>
          <w:szCs w:val="20"/>
        </w:rPr>
        <w:t xml:space="preserve">an oral flexibility as stories were adapted amongst the sages for the sake of cultural relevance, which in turn points to the primary goal of </w:t>
      </w:r>
      <w:r w:rsidRPr="00E54204">
        <w:rPr>
          <w:i/>
          <w:szCs w:val="20"/>
        </w:rPr>
        <w:t xml:space="preserve">Haggadah </w:t>
      </w:r>
      <w:r w:rsidRPr="00E54204">
        <w:rPr>
          <w:szCs w:val="20"/>
        </w:rPr>
        <w:t>in general.</w:t>
      </w:r>
    </w:p>
    <w:p w14:paraId="2B7F0D7B" w14:textId="77777777" w:rsidR="00ED18D8" w:rsidRPr="00E54204" w:rsidRDefault="00ED18D8" w:rsidP="006E723D">
      <w:pPr>
        <w:spacing w:after="160"/>
        <w:ind w:firstLine="720"/>
        <w:rPr>
          <w:szCs w:val="20"/>
        </w:rPr>
      </w:pPr>
      <w:r w:rsidRPr="00E54204">
        <w:rPr>
          <w:i/>
          <w:szCs w:val="20"/>
        </w:rPr>
        <w:t xml:space="preserve">Haggadot </w:t>
      </w:r>
      <w:r w:rsidRPr="00E54204">
        <w:rPr>
          <w:szCs w:val="20"/>
        </w:rPr>
        <w:t xml:space="preserve">were utilized in order to promote a lesson or teaching of sorts.  Joseph Heinemann proposed three general kinds of </w:t>
      </w:r>
      <w:r w:rsidR="00B40E5A" w:rsidRPr="00E54204">
        <w:rPr>
          <w:i/>
          <w:szCs w:val="20"/>
        </w:rPr>
        <w:t>H</w:t>
      </w:r>
      <w:r w:rsidRPr="00E54204">
        <w:rPr>
          <w:i/>
          <w:szCs w:val="20"/>
        </w:rPr>
        <w:t>aggadot</w:t>
      </w:r>
      <w:r w:rsidRPr="00E54204">
        <w:rPr>
          <w:szCs w:val="20"/>
        </w:rPr>
        <w:t>: Biblical, “non-Biblical” or “the tales of the sages,” and “ethical-didactic.”</w:t>
      </w:r>
      <w:r w:rsidRPr="00E54204">
        <w:rPr>
          <w:szCs w:val="20"/>
          <w:vertAlign w:val="superscript"/>
        </w:rPr>
        <w:footnoteReference w:id="311"/>
      </w:r>
      <w:r w:rsidRPr="00E54204">
        <w:rPr>
          <w:szCs w:val="20"/>
        </w:rPr>
        <w:t xml:space="preserve">  However, as Heinemann explains these categories have a degree of overlap with one another, for Biblical </w:t>
      </w:r>
      <w:r w:rsidR="00B40E5A" w:rsidRPr="00E54204">
        <w:rPr>
          <w:i/>
          <w:szCs w:val="20"/>
        </w:rPr>
        <w:t>H</w:t>
      </w:r>
      <w:r w:rsidRPr="00E54204">
        <w:rPr>
          <w:i/>
          <w:szCs w:val="20"/>
        </w:rPr>
        <w:t>aggadot</w:t>
      </w:r>
      <w:r w:rsidRPr="00E54204">
        <w:rPr>
          <w:szCs w:val="20"/>
        </w:rPr>
        <w:t xml:space="preserve"> may also contain historical characters and all </w:t>
      </w:r>
      <w:r w:rsidR="00B40E5A" w:rsidRPr="00E54204">
        <w:rPr>
          <w:i/>
          <w:szCs w:val="20"/>
        </w:rPr>
        <w:t>H</w:t>
      </w:r>
      <w:r w:rsidRPr="00E54204">
        <w:rPr>
          <w:i/>
          <w:szCs w:val="20"/>
        </w:rPr>
        <w:t xml:space="preserve">aggadot </w:t>
      </w:r>
      <w:r w:rsidRPr="00E54204">
        <w:rPr>
          <w:szCs w:val="20"/>
        </w:rPr>
        <w:t>surely have an ethical point to them.  Take for example Abraham’s binding of Isaac in Genesis 22.  The rabbinic interpretation of this passage shifted the focus from Abraham’s submissiveness to God to Isaac’s willingness</w:t>
      </w:r>
      <w:r w:rsidR="00DE1686" w:rsidRPr="00E54204">
        <w:rPr>
          <w:szCs w:val="20"/>
        </w:rPr>
        <w:t xml:space="preserve"> to be sacrificed, in martyr-</w:t>
      </w:r>
      <w:r w:rsidRPr="00E54204">
        <w:rPr>
          <w:szCs w:val="20"/>
        </w:rPr>
        <w:t>like manner.</w:t>
      </w:r>
      <w:r w:rsidR="00293447" w:rsidRPr="00E54204">
        <w:rPr>
          <w:szCs w:val="20"/>
        </w:rPr>
        <w:t xml:space="preserve">  This shift can be seen in the retelling of the </w:t>
      </w:r>
      <w:r w:rsidR="00293447" w:rsidRPr="00E54204">
        <w:rPr>
          <w:i/>
          <w:szCs w:val="20"/>
        </w:rPr>
        <w:t>Akedah</w:t>
      </w:r>
      <w:r w:rsidR="00293447" w:rsidRPr="00E54204">
        <w:rPr>
          <w:szCs w:val="20"/>
        </w:rPr>
        <w:t xml:space="preserve"> in the Palestinian Targum (Targum Neofiti), Josephus, Pseudo-Philo, and later rabbinic works.</w:t>
      </w:r>
      <w:r w:rsidR="00293447" w:rsidRPr="00E54204">
        <w:rPr>
          <w:rStyle w:val="FootnoteReference"/>
          <w:szCs w:val="20"/>
        </w:rPr>
        <w:footnoteReference w:id="312"/>
      </w:r>
      <w:r w:rsidRPr="00E54204">
        <w:rPr>
          <w:szCs w:val="20"/>
        </w:rPr>
        <w:t xml:space="preserve">  This in</w:t>
      </w:r>
      <w:r w:rsidR="00DE1686" w:rsidRPr="00E54204">
        <w:rPr>
          <w:szCs w:val="20"/>
        </w:rPr>
        <w:t xml:space="preserve"> turn served as the paradigm to which Jews </w:t>
      </w:r>
      <w:r w:rsidRPr="00E54204">
        <w:rPr>
          <w:szCs w:val="20"/>
        </w:rPr>
        <w:t>resort</w:t>
      </w:r>
      <w:r w:rsidR="00D4666D" w:rsidRPr="00E54204">
        <w:rPr>
          <w:szCs w:val="20"/>
        </w:rPr>
        <w:t>ed</w:t>
      </w:r>
      <w:r w:rsidR="00DE1686" w:rsidRPr="00E54204">
        <w:rPr>
          <w:szCs w:val="20"/>
        </w:rPr>
        <w:t xml:space="preserve"> when facing death by enemy</w:t>
      </w:r>
      <w:r w:rsidRPr="00E54204">
        <w:rPr>
          <w:szCs w:val="20"/>
        </w:rPr>
        <w:t xml:space="preserve"> forces.  It does </w:t>
      </w:r>
      <w:r w:rsidR="001F3ED3" w:rsidRPr="00E54204">
        <w:rPr>
          <w:szCs w:val="20"/>
        </w:rPr>
        <w:t>not seem coincidental therefore</w:t>
      </w:r>
      <w:r w:rsidRPr="00E54204">
        <w:rPr>
          <w:szCs w:val="20"/>
        </w:rPr>
        <w:t xml:space="preserve"> that a “voice from heaven” accompanies several rabbinical stories of martyrdom, similarly to the celestial voice which went forth at Isaac’s binding.</w:t>
      </w:r>
    </w:p>
    <w:p w14:paraId="4434E487" w14:textId="77777777" w:rsidR="00ED18D8" w:rsidRPr="00E54204" w:rsidRDefault="00ED18D8" w:rsidP="006E723D">
      <w:pPr>
        <w:spacing w:after="160"/>
        <w:ind w:firstLine="720"/>
        <w:rPr>
          <w:szCs w:val="20"/>
        </w:rPr>
      </w:pPr>
      <w:r w:rsidRPr="00E54204">
        <w:rPr>
          <w:szCs w:val="20"/>
        </w:rPr>
        <w:t xml:space="preserve">The </w:t>
      </w:r>
      <w:r w:rsidRPr="00E54204">
        <w:rPr>
          <w:i/>
          <w:szCs w:val="20"/>
        </w:rPr>
        <w:t>bat kol</w:t>
      </w:r>
      <w:r w:rsidRPr="00E54204">
        <w:rPr>
          <w:szCs w:val="20"/>
        </w:rPr>
        <w:t xml:space="preserve"> constitutes one motif of the </w:t>
      </w:r>
      <w:r w:rsidR="00B40E5A" w:rsidRPr="00E54204">
        <w:rPr>
          <w:i/>
          <w:szCs w:val="20"/>
        </w:rPr>
        <w:t>H</w:t>
      </w:r>
      <w:r w:rsidRPr="00E54204">
        <w:rPr>
          <w:i/>
          <w:szCs w:val="20"/>
        </w:rPr>
        <w:t xml:space="preserve">aggadot </w:t>
      </w:r>
      <w:r w:rsidRPr="00E54204">
        <w:rPr>
          <w:szCs w:val="20"/>
        </w:rPr>
        <w:t xml:space="preserve">for both its </w:t>
      </w:r>
      <w:r w:rsidR="007510B7" w:rsidRPr="00E54204">
        <w:rPr>
          <w:szCs w:val="20"/>
        </w:rPr>
        <w:t>Biblical and non-Biblical stories</w:t>
      </w:r>
      <w:r w:rsidR="007836A9" w:rsidRPr="00E54204">
        <w:rPr>
          <w:szCs w:val="20"/>
        </w:rPr>
        <w:t>.  Yet even stories</w:t>
      </w:r>
      <w:r w:rsidRPr="00E54204">
        <w:rPr>
          <w:szCs w:val="20"/>
        </w:rPr>
        <w:t xml:space="preserve"> retrojected into t</w:t>
      </w:r>
      <w:r w:rsidR="007836A9" w:rsidRPr="00E54204">
        <w:rPr>
          <w:szCs w:val="20"/>
        </w:rPr>
        <w:t>he Biblical period always included some kind of relevant teaching.  For example, concerning the destruction of the</w:t>
      </w:r>
      <w:r w:rsidR="00C86E02" w:rsidRPr="00E54204">
        <w:rPr>
          <w:szCs w:val="20"/>
        </w:rPr>
        <w:t xml:space="preserve"> First and Second</w:t>
      </w:r>
      <w:r w:rsidR="007836A9" w:rsidRPr="00E54204">
        <w:rPr>
          <w:szCs w:val="20"/>
        </w:rPr>
        <w:t xml:space="preserve"> Temple</w:t>
      </w:r>
      <w:r w:rsidR="00C86E02" w:rsidRPr="00E54204">
        <w:rPr>
          <w:szCs w:val="20"/>
        </w:rPr>
        <w:t>s</w:t>
      </w:r>
      <w:r w:rsidR="00A5432C" w:rsidRPr="00E54204">
        <w:rPr>
          <w:szCs w:val="20"/>
        </w:rPr>
        <w:t>,</w:t>
      </w:r>
      <w:r w:rsidR="007836A9" w:rsidRPr="00E54204">
        <w:rPr>
          <w:szCs w:val="20"/>
        </w:rPr>
        <w:t xml:space="preserve"> </w:t>
      </w:r>
      <w:r w:rsidRPr="00E54204">
        <w:rPr>
          <w:szCs w:val="20"/>
        </w:rPr>
        <w:t>Heinemann</w:t>
      </w:r>
      <w:r w:rsidR="007836A9" w:rsidRPr="00E54204">
        <w:rPr>
          <w:szCs w:val="20"/>
        </w:rPr>
        <w:t xml:space="preserve"> notes</w:t>
      </w:r>
      <w:r w:rsidRPr="00E54204">
        <w:rPr>
          <w:szCs w:val="20"/>
        </w:rPr>
        <w:t xml:space="preserve">, “Moreover, there are many </w:t>
      </w:r>
      <w:r w:rsidR="00B40E5A" w:rsidRPr="00E54204">
        <w:rPr>
          <w:i/>
          <w:szCs w:val="20"/>
        </w:rPr>
        <w:t>H</w:t>
      </w:r>
      <w:r w:rsidRPr="00E54204">
        <w:rPr>
          <w:i/>
          <w:szCs w:val="20"/>
        </w:rPr>
        <w:t>aggadot</w:t>
      </w:r>
      <w:r w:rsidRPr="00E54204">
        <w:rPr>
          <w:szCs w:val="20"/>
        </w:rPr>
        <w:t xml:space="preserve"> which in discussing events historically connected with the destruction of the First Temple, such as the legend about Zechariah’s blood (see B. </w:t>
      </w:r>
      <w:r w:rsidRPr="00E54204">
        <w:rPr>
          <w:i/>
          <w:szCs w:val="20"/>
        </w:rPr>
        <w:t>Sanhedrin</w:t>
      </w:r>
      <w:r w:rsidRPr="00E54204">
        <w:rPr>
          <w:szCs w:val="20"/>
        </w:rPr>
        <w:t xml:space="preserve"> 96b and parallels), are in fact implicitly commenting on the destruction of the Second Temple.”</w:t>
      </w:r>
      <w:r w:rsidRPr="00E54204">
        <w:rPr>
          <w:szCs w:val="20"/>
          <w:vertAlign w:val="superscript"/>
        </w:rPr>
        <w:footnoteReference w:id="313"/>
      </w:r>
      <w:r w:rsidRPr="00E54204">
        <w:rPr>
          <w:szCs w:val="20"/>
        </w:rPr>
        <w:t xml:space="preserve">  Not surprisingly, we</w:t>
      </w:r>
      <w:r w:rsidR="00A5432C" w:rsidRPr="00E54204">
        <w:rPr>
          <w:szCs w:val="20"/>
        </w:rPr>
        <w:t xml:space="preserve"> find this to be true of the </w:t>
      </w:r>
      <w:r w:rsidRPr="00E54204">
        <w:rPr>
          <w:szCs w:val="20"/>
        </w:rPr>
        <w:t>stories depicting a “voice from heaven.”  The rabbis conceived of the Scriptures as containing</w:t>
      </w:r>
      <w:r w:rsidR="00F6587F" w:rsidRPr="00E54204">
        <w:rPr>
          <w:szCs w:val="20"/>
        </w:rPr>
        <w:t xml:space="preserve"> multiple meanings which were</w:t>
      </w:r>
      <w:r w:rsidRPr="00E54204">
        <w:rPr>
          <w:szCs w:val="20"/>
        </w:rPr>
        <w:t xml:space="preserve"> culle</w:t>
      </w:r>
      <w:r w:rsidR="00F6587F" w:rsidRPr="00E54204">
        <w:rPr>
          <w:szCs w:val="20"/>
        </w:rPr>
        <w:t>d and expounded upon</w:t>
      </w:r>
      <w:r w:rsidRPr="00E54204">
        <w:rPr>
          <w:szCs w:val="20"/>
        </w:rPr>
        <w:t>.  These in turn were taught</w:t>
      </w:r>
      <w:r w:rsidR="00F6587F" w:rsidRPr="00E54204">
        <w:rPr>
          <w:szCs w:val="20"/>
        </w:rPr>
        <w:t>, perhaps first</w:t>
      </w:r>
      <w:r w:rsidR="00086384" w:rsidRPr="00E54204">
        <w:rPr>
          <w:szCs w:val="20"/>
        </w:rPr>
        <w:t>,</w:t>
      </w:r>
      <w:r w:rsidR="00F6587F" w:rsidRPr="00E54204">
        <w:rPr>
          <w:szCs w:val="20"/>
        </w:rPr>
        <w:t xml:space="preserve"> to other sages and then eventually </w:t>
      </w:r>
      <w:r w:rsidRPr="00E54204">
        <w:rPr>
          <w:szCs w:val="20"/>
        </w:rPr>
        <w:t>to the</w:t>
      </w:r>
      <w:r w:rsidR="00F6587F" w:rsidRPr="00E54204">
        <w:rPr>
          <w:szCs w:val="20"/>
        </w:rPr>
        <w:t xml:space="preserve"> common</w:t>
      </w:r>
      <w:r w:rsidRPr="00E54204">
        <w:rPr>
          <w:szCs w:val="20"/>
        </w:rPr>
        <w:t xml:space="preserve"> people</w:t>
      </w:r>
      <w:r w:rsidR="00F6587F" w:rsidRPr="00E54204">
        <w:rPr>
          <w:szCs w:val="20"/>
        </w:rPr>
        <w:t>, such as in the sermons delivered on the Sabbath, as highly relevant principles</w:t>
      </w:r>
      <w:r w:rsidR="00086384" w:rsidRPr="00E54204">
        <w:rPr>
          <w:szCs w:val="20"/>
        </w:rPr>
        <w:t xml:space="preserve"> to live by in</w:t>
      </w:r>
      <w:r w:rsidRPr="00E54204">
        <w:rPr>
          <w:szCs w:val="20"/>
        </w:rPr>
        <w:t xml:space="preserve"> their</w:t>
      </w:r>
      <w:r w:rsidR="00C35C19" w:rsidRPr="00E54204">
        <w:rPr>
          <w:szCs w:val="20"/>
        </w:rPr>
        <w:t xml:space="preserve"> world</w:t>
      </w:r>
      <w:r w:rsidRPr="00E54204">
        <w:rPr>
          <w:szCs w:val="20"/>
        </w:rPr>
        <w:t xml:space="preserve">.   </w:t>
      </w:r>
    </w:p>
    <w:p w14:paraId="3C2FD567" w14:textId="77777777" w:rsidR="00ED18D8" w:rsidRPr="00E54204" w:rsidRDefault="00C35C19" w:rsidP="00ED18D8">
      <w:pPr>
        <w:spacing w:after="160"/>
        <w:rPr>
          <w:b/>
          <w:szCs w:val="20"/>
        </w:rPr>
      </w:pPr>
      <w:r w:rsidRPr="00E54204">
        <w:rPr>
          <w:b/>
          <w:szCs w:val="20"/>
        </w:rPr>
        <w:t>II.</w:t>
      </w:r>
      <w:r w:rsidRPr="00E54204">
        <w:rPr>
          <w:b/>
          <w:szCs w:val="20"/>
        </w:rPr>
        <w:tab/>
      </w:r>
      <w:r w:rsidR="00ED18D8" w:rsidRPr="00E54204">
        <w:rPr>
          <w:b/>
          <w:szCs w:val="20"/>
        </w:rPr>
        <w:t>The World to Come</w:t>
      </w:r>
    </w:p>
    <w:p w14:paraId="121A9967" w14:textId="77777777" w:rsidR="00ED18D8" w:rsidRPr="00E54204" w:rsidRDefault="00ED18D8" w:rsidP="00ED18D8">
      <w:pPr>
        <w:spacing w:after="160"/>
        <w:rPr>
          <w:szCs w:val="20"/>
        </w:rPr>
      </w:pPr>
      <w:r w:rsidRPr="00E54204">
        <w:rPr>
          <w:szCs w:val="20"/>
        </w:rPr>
        <w:tab/>
        <w:t xml:space="preserve">One major theme associated with the </w:t>
      </w:r>
      <w:r w:rsidRPr="00E54204">
        <w:rPr>
          <w:i/>
          <w:szCs w:val="20"/>
        </w:rPr>
        <w:t xml:space="preserve">bat kol </w:t>
      </w:r>
      <w:r w:rsidRPr="00E54204">
        <w:rPr>
          <w:szCs w:val="20"/>
        </w:rPr>
        <w:t>is entrance into the “world to com</w:t>
      </w:r>
      <w:r w:rsidR="00086384" w:rsidRPr="00E54204">
        <w:rPr>
          <w:szCs w:val="20"/>
        </w:rPr>
        <w:t xml:space="preserve">e.”  There are </w:t>
      </w:r>
      <w:r w:rsidR="001C1433" w:rsidRPr="00E54204">
        <w:rPr>
          <w:szCs w:val="20"/>
        </w:rPr>
        <w:t>twelve</w:t>
      </w:r>
      <w:r w:rsidRPr="00E54204">
        <w:rPr>
          <w:szCs w:val="20"/>
        </w:rPr>
        <w:t xml:space="preserve"> passages in the Bavli which address this theme.  These passages usually enunciate the phrase: “_____ is destined</w:t>
      </w:r>
      <w:r w:rsidRPr="00E54204">
        <w:rPr>
          <w:szCs w:val="20"/>
          <w:vertAlign w:val="superscript"/>
        </w:rPr>
        <w:footnoteReference w:id="314"/>
      </w:r>
      <w:r w:rsidRPr="00E54204">
        <w:rPr>
          <w:szCs w:val="20"/>
        </w:rPr>
        <w:t xml:space="preserve"> to life in the world to come!”  This phrase is applied to martyrs, rabbis, gentiles, and even collective Israel.</w:t>
      </w:r>
      <w:r w:rsidRPr="00E54204">
        <w:rPr>
          <w:szCs w:val="20"/>
          <w:vertAlign w:val="superscript"/>
        </w:rPr>
        <w:footnoteReference w:id="315"/>
      </w:r>
      <w:r w:rsidR="00F71A94" w:rsidRPr="00E54204">
        <w:rPr>
          <w:szCs w:val="20"/>
        </w:rPr>
        <w:t xml:space="preserve">  I will provide </w:t>
      </w:r>
      <w:r w:rsidR="00051544" w:rsidRPr="00E54204">
        <w:rPr>
          <w:szCs w:val="20"/>
        </w:rPr>
        <w:t xml:space="preserve">a brief </w:t>
      </w:r>
      <w:r w:rsidRPr="00E54204">
        <w:rPr>
          <w:szCs w:val="20"/>
        </w:rPr>
        <w:t>reading of several examples from this category.</w:t>
      </w:r>
    </w:p>
    <w:p w14:paraId="217BB4C0" w14:textId="77777777" w:rsidR="00806964" w:rsidRPr="00E54204" w:rsidRDefault="00ED5BFA" w:rsidP="006E723D">
      <w:pPr>
        <w:spacing w:after="160"/>
        <w:ind w:firstLine="720"/>
        <w:rPr>
          <w:szCs w:val="20"/>
        </w:rPr>
      </w:pPr>
      <w:r w:rsidRPr="00E54204">
        <w:rPr>
          <w:szCs w:val="20"/>
        </w:rPr>
        <w:t>The phrase, “world to come” (</w:t>
      </w:r>
      <w:r w:rsidRPr="00E54204">
        <w:rPr>
          <w:i/>
          <w:szCs w:val="20"/>
        </w:rPr>
        <w:t>olam ha-ba</w:t>
      </w:r>
      <w:r w:rsidRPr="00E54204">
        <w:rPr>
          <w:szCs w:val="20"/>
        </w:rPr>
        <w:t xml:space="preserve">) occurs ten times in the Mishnah, five times in the Tosefta, and eighty-two places in Talmudic writings.  </w:t>
      </w:r>
      <w:r w:rsidR="00086384" w:rsidRPr="00E54204">
        <w:rPr>
          <w:szCs w:val="20"/>
        </w:rPr>
        <w:t>Given the large number of occurrences</w:t>
      </w:r>
      <w:r w:rsidR="00ED18D8" w:rsidRPr="00E54204">
        <w:rPr>
          <w:szCs w:val="20"/>
        </w:rPr>
        <w:t xml:space="preserve">, one may infer that this question was important, for the rabbis, </w:t>
      </w:r>
      <w:r w:rsidR="00086384" w:rsidRPr="00E54204">
        <w:rPr>
          <w:szCs w:val="20"/>
        </w:rPr>
        <w:t xml:space="preserve">and by extension </w:t>
      </w:r>
      <w:r w:rsidR="00ED18D8" w:rsidRPr="00E54204">
        <w:rPr>
          <w:szCs w:val="20"/>
        </w:rPr>
        <w:t>the comm</w:t>
      </w:r>
      <w:r w:rsidR="00086384" w:rsidRPr="00E54204">
        <w:rPr>
          <w:szCs w:val="20"/>
        </w:rPr>
        <w:t>on people</w:t>
      </w:r>
      <w:r w:rsidRPr="00E54204">
        <w:rPr>
          <w:szCs w:val="20"/>
        </w:rPr>
        <w:t>, who were after all were taught by the sages.  As teachers of</w:t>
      </w:r>
      <w:r w:rsidR="0074201F" w:rsidRPr="00E54204">
        <w:rPr>
          <w:szCs w:val="20"/>
        </w:rPr>
        <w:t xml:space="preserve"> the written and oral Torah, the rabbis would </w:t>
      </w:r>
      <w:r w:rsidRPr="00E54204">
        <w:rPr>
          <w:szCs w:val="20"/>
        </w:rPr>
        <w:t>have propagated their teachings of</w:t>
      </w:r>
      <w:r w:rsidR="0074201F" w:rsidRPr="00E54204">
        <w:rPr>
          <w:szCs w:val="20"/>
        </w:rPr>
        <w:t xml:space="preserve"> </w:t>
      </w:r>
      <w:r w:rsidR="00EF69C7" w:rsidRPr="00E54204">
        <w:rPr>
          <w:i/>
          <w:szCs w:val="20"/>
        </w:rPr>
        <w:t>Halac</w:t>
      </w:r>
      <w:r w:rsidR="0074201F" w:rsidRPr="00E54204">
        <w:rPr>
          <w:i/>
          <w:szCs w:val="20"/>
        </w:rPr>
        <w:t xml:space="preserve">ha </w:t>
      </w:r>
      <w:r w:rsidR="0074201F" w:rsidRPr="00E54204">
        <w:rPr>
          <w:szCs w:val="20"/>
        </w:rPr>
        <w:t xml:space="preserve">and </w:t>
      </w:r>
      <w:r w:rsidR="0074201F" w:rsidRPr="00E54204">
        <w:rPr>
          <w:i/>
          <w:szCs w:val="20"/>
        </w:rPr>
        <w:t>Haggadah</w:t>
      </w:r>
      <w:r w:rsidR="00051544" w:rsidRPr="00E54204">
        <w:rPr>
          <w:szCs w:val="20"/>
        </w:rPr>
        <w:t xml:space="preserve"> in order to instruct the fellow rabbis.</w:t>
      </w:r>
      <w:r w:rsidR="0074201F" w:rsidRPr="00E54204">
        <w:rPr>
          <w:szCs w:val="20"/>
        </w:rPr>
        <w:t xml:space="preserve">  </w:t>
      </w:r>
      <w:r w:rsidR="00ED18D8" w:rsidRPr="00E54204">
        <w:rPr>
          <w:szCs w:val="20"/>
        </w:rPr>
        <w:t>We discover a concise statement of who is excluded in the world to come: the one who denies the heavenly origins of the Torah and the resurrection, and the one who pronounces the Name in its full spelling.</w:t>
      </w:r>
      <w:r w:rsidR="00ED18D8" w:rsidRPr="00E54204">
        <w:rPr>
          <w:szCs w:val="20"/>
          <w:vertAlign w:val="superscript"/>
        </w:rPr>
        <w:footnoteReference w:id="316"/>
      </w:r>
      <w:r w:rsidR="00ED18D8" w:rsidRPr="00E54204">
        <w:rPr>
          <w:szCs w:val="20"/>
        </w:rPr>
        <w:t xml:space="preserve">  </w:t>
      </w:r>
    </w:p>
    <w:p w14:paraId="21D1E34C" w14:textId="77777777" w:rsidR="007E5984" w:rsidRPr="00E54204" w:rsidRDefault="00ED18D8" w:rsidP="006E723D">
      <w:pPr>
        <w:spacing w:after="160"/>
        <w:ind w:firstLine="720"/>
        <w:rPr>
          <w:szCs w:val="20"/>
        </w:rPr>
      </w:pPr>
      <w:r w:rsidRPr="00E54204">
        <w:rPr>
          <w:szCs w:val="20"/>
        </w:rPr>
        <w:t xml:space="preserve">Another statement germane to the subject of “the world to come” is found in </w:t>
      </w:r>
      <w:r w:rsidRPr="00E54204">
        <w:rPr>
          <w:i/>
          <w:szCs w:val="20"/>
        </w:rPr>
        <w:t>Genesis Rabbah</w:t>
      </w:r>
      <w:r w:rsidRPr="00E54204">
        <w:rPr>
          <w:szCs w:val="20"/>
        </w:rPr>
        <w:t>.  Here the sages</w:t>
      </w:r>
      <w:r w:rsidRPr="00E54204">
        <w:rPr>
          <w:i/>
          <w:szCs w:val="20"/>
        </w:rPr>
        <w:t xml:space="preserve"> </w:t>
      </w:r>
      <w:r w:rsidRPr="00E54204">
        <w:rPr>
          <w:szCs w:val="20"/>
        </w:rPr>
        <w:t>illustrate how the Hebrew language maybe tweaked in order to d</w:t>
      </w:r>
      <w:r w:rsidR="0074201F" w:rsidRPr="00E54204">
        <w:rPr>
          <w:szCs w:val="20"/>
        </w:rPr>
        <w:t>e</w:t>
      </w:r>
      <w:r w:rsidRPr="00E54204">
        <w:rPr>
          <w:szCs w:val="20"/>
        </w:rPr>
        <w:t>rive multiple meanings.</w:t>
      </w:r>
      <w:r w:rsidRPr="00E54204">
        <w:rPr>
          <w:szCs w:val="20"/>
          <w:vertAlign w:val="superscript"/>
        </w:rPr>
        <w:footnoteReference w:id="317"/>
      </w:r>
      <w:r w:rsidRPr="00E54204">
        <w:rPr>
          <w:szCs w:val="20"/>
        </w:rPr>
        <w:t xml:space="preserve">  For example, R. Joshua ben Levi interpreted Psalm 111:5, “He has given sustenance [</w:t>
      </w:r>
      <w:r w:rsidRPr="00E54204">
        <w:rPr>
          <w:i/>
          <w:szCs w:val="20"/>
        </w:rPr>
        <w:t>teref</w:t>
      </w:r>
      <w:r w:rsidRPr="00E54204">
        <w:rPr>
          <w:szCs w:val="20"/>
        </w:rPr>
        <w:t>] to those who fear Him; He will ever be mindful of His Covenant” as “He has given exile [</w:t>
      </w:r>
      <w:r w:rsidRPr="00E54204">
        <w:rPr>
          <w:i/>
          <w:szCs w:val="20"/>
        </w:rPr>
        <w:t>teruf</w:t>
      </w:r>
      <w:r w:rsidRPr="00E54204">
        <w:rPr>
          <w:szCs w:val="20"/>
        </w:rPr>
        <w:t>] to those who fear Him in this world; but in the world to come, ‘He will be mindful of His covenant.</w:t>
      </w:r>
      <w:r w:rsidR="00F02247" w:rsidRPr="00E54204">
        <w:rPr>
          <w:szCs w:val="20"/>
        </w:rPr>
        <w:t>’</w:t>
      </w:r>
      <w:r w:rsidRPr="00E54204">
        <w:rPr>
          <w:szCs w:val="20"/>
        </w:rPr>
        <w:t>”  One of the important details we glean from this passage is how this sage changes only a Hebrew letter to elicit an alternative reading apropos to his time</w:t>
      </w:r>
      <w:r w:rsidR="00F02247" w:rsidRPr="00E54204">
        <w:rPr>
          <w:szCs w:val="20"/>
        </w:rPr>
        <w:t>.  Two observations can be made: 1)</w:t>
      </w:r>
      <w:r w:rsidRPr="00E54204">
        <w:rPr>
          <w:szCs w:val="20"/>
        </w:rPr>
        <w:t xml:space="preserve"> the text is interpreted in light of real circumstances and</w:t>
      </w:r>
      <w:r w:rsidR="00F02247" w:rsidRPr="00E54204">
        <w:rPr>
          <w:szCs w:val="20"/>
        </w:rPr>
        <w:t xml:space="preserve"> 2)</w:t>
      </w:r>
      <w:r w:rsidRPr="00E54204">
        <w:rPr>
          <w:szCs w:val="20"/>
        </w:rPr>
        <w:t xml:space="preserve"> the text is also appl</w:t>
      </w:r>
      <w:r w:rsidR="00AC4B0A" w:rsidRPr="00E54204">
        <w:rPr>
          <w:szCs w:val="20"/>
        </w:rPr>
        <w:t>ied to mollify concerns</w:t>
      </w:r>
      <w:r w:rsidRPr="00E54204">
        <w:rPr>
          <w:szCs w:val="20"/>
        </w:rPr>
        <w:t xml:space="preserve"> about the current status</w:t>
      </w:r>
      <w:r w:rsidR="00AC4B0A" w:rsidRPr="00E54204">
        <w:rPr>
          <w:szCs w:val="20"/>
        </w:rPr>
        <w:t xml:space="preserve"> quo.  </w:t>
      </w:r>
      <w:r w:rsidRPr="00E54204">
        <w:rPr>
          <w:szCs w:val="20"/>
        </w:rPr>
        <w:t>One may ask, what ga</w:t>
      </w:r>
      <w:r w:rsidR="00383006" w:rsidRPr="00E54204">
        <w:rPr>
          <w:szCs w:val="20"/>
        </w:rPr>
        <w:t>ve rise to the propagation of</w:t>
      </w:r>
      <w:r w:rsidRPr="00E54204">
        <w:rPr>
          <w:szCs w:val="20"/>
        </w:rPr>
        <w:t xml:space="preserve"> heavenly corroborations of entrance into t</w:t>
      </w:r>
      <w:r w:rsidR="00E2259D" w:rsidRPr="00E54204">
        <w:rPr>
          <w:szCs w:val="20"/>
        </w:rPr>
        <w:t xml:space="preserve">he “world to come?”  </w:t>
      </w:r>
      <w:r w:rsidRPr="00E54204">
        <w:rPr>
          <w:szCs w:val="20"/>
        </w:rPr>
        <w:t>It is quite conceivable that this topic would have been of keen interest to most individuals simply for its eternal value.</w:t>
      </w:r>
      <w:r w:rsidR="00806964" w:rsidRPr="00E54204">
        <w:rPr>
          <w:szCs w:val="20"/>
        </w:rPr>
        <w:t xml:space="preserve">  </w:t>
      </w:r>
      <w:r w:rsidR="009352E8" w:rsidRPr="00E54204">
        <w:rPr>
          <w:szCs w:val="20"/>
        </w:rPr>
        <w:t xml:space="preserve">As can be seen in the table above, stories of a </w:t>
      </w:r>
      <w:r w:rsidR="009352E8" w:rsidRPr="00E54204">
        <w:rPr>
          <w:i/>
          <w:szCs w:val="20"/>
        </w:rPr>
        <w:t xml:space="preserve">bat kol </w:t>
      </w:r>
      <w:r w:rsidR="009352E8" w:rsidRPr="00E54204">
        <w:rPr>
          <w:szCs w:val="20"/>
        </w:rPr>
        <w:t>and the “w</w:t>
      </w:r>
      <w:r w:rsidR="00E2259D" w:rsidRPr="00E54204">
        <w:rPr>
          <w:szCs w:val="20"/>
        </w:rPr>
        <w:t>orld to come” are not limited just to</w:t>
      </w:r>
      <w:r w:rsidR="00051544" w:rsidRPr="00E54204">
        <w:rPr>
          <w:szCs w:val="20"/>
        </w:rPr>
        <w:t xml:space="preserve"> the eight</w:t>
      </w:r>
      <w:r w:rsidR="00E2259D" w:rsidRPr="00E54204">
        <w:rPr>
          <w:szCs w:val="20"/>
        </w:rPr>
        <w:t xml:space="preserve"> occurrences</w:t>
      </w:r>
      <w:r w:rsidR="009352E8" w:rsidRPr="00E54204">
        <w:rPr>
          <w:szCs w:val="20"/>
        </w:rPr>
        <w:t xml:space="preserve"> </w:t>
      </w:r>
      <w:r w:rsidR="00051544" w:rsidRPr="00E54204">
        <w:rPr>
          <w:szCs w:val="20"/>
        </w:rPr>
        <w:t>of death or</w:t>
      </w:r>
      <w:r w:rsidR="009544AB" w:rsidRPr="00E54204">
        <w:rPr>
          <w:szCs w:val="20"/>
        </w:rPr>
        <w:t xml:space="preserve"> martyrdom but also include</w:t>
      </w:r>
      <w:r w:rsidR="00E2259D" w:rsidRPr="00E54204">
        <w:rPr>
          <w:szCs w:val="20"/>
        </w:rPr>
        <w:t xml:space="preserve"> other </w:t>
      </w:r>
      <w:r w:rsidR="007E5984" w:rsidRPr="00E54204">
        <w:rPr>
          <w:szCs w:val="20"/>
        </w:rPr>
        <w:t xml:space="preserve">stories, such as a </w:t>
      </w:r>
      <w:r w:rsidR="007E5984" w:rsidRPr="00E54204">
        <w:rPr>
          <w:i/>
          <w:szCs w:val="20"/>
        </w:rPr>
        <w:t xml:space="preserve">bat kol </w:t>
      </w:r>
      <w:r w:rsidR="007E5984" w:rsidRPr="00E54204">
        <w:rPr>
          <w:szCs w:val="20"/>
        </w:rPr>
        <w:t>assuring that all of Israel is destined for life in the “world to come</w:t>
      </w:r>
      <w:r w:rsidR="00E2259D" w:rsidRPr="00E54204">
        <w:rPr>
          <w:szCs w:val="20"/>
        </w:rPr>
        <w:t>,</w:t>
      </w:r>
      <w:r w:rsidR="007E5984" w:rsidRPr="00E54204">
        <w:rPr>
          <w:szCs w:val="20"/>
        </w:rPr>
        <w:t>”</w:t>
      </w:r>
      <w:r w:rsidR="00E2259D" w:rsidRPr="00E54204">
        <w:rPr>
          <w:szCs w:val="20"/>
        </w:rPr>
        <w:t xml:space="preserve"> et al.</w:t>
      </w:r>
      <w:r w:rsidR="007E5984" w:rsidRPr="00E54204">
        <w:rPr>
          <w:rStyle w:val="FootnoteReference"/>
          <w:szCs w:val="20"/>
        </w:rPr>
        <w:footnoteReference w:id="318"/>
      </w:r>
      <w:r w:rsidR="009544AB" w:rsidRPr="00E54204">
        <w:rPr>
          <w:szCs w:val="20"/>
        </w:rPr>
        <w:t xml:space="preserve">  </w:t>
      </w:r>
    </w:p>
    <w:p w14:paraId="0C09A145" w14:textId="77777777" w:rsidR="00ED18D8" w:rsidRPr="00E54204" w:rsidRDefault="007E5984" w:rsidP="006E723D">
      <w:pPr>
        <w:spacing w:after="160"/>
        <w:ind w:firstLine="720"/>
        <w:rPr>
          <w:szCs w:val="20"/>
        </w:rPr>
      </w:pPr>
      <w:r w:rsidRPr="00E54204">
        <w:rPr>
          <w:szCs w:val="20"/>
        </w:rPr>
        <w:t>Moreover, i</w:t>
      </w:r>
      <w:r w:rsidR="009544AB" w:rsidRPr="00E54204">
        <w:rPr>
          <w:szCs w:val="20"/>
        </w:rPr>
        <w:t xml:space="preserve">n </w:t>
      </w:r>
      <w:r w:rsidR="009544AB" w:rsidRPr="00E54204">
        <w:rPr>
          <w:i/>
          <w:szCs w:val="20"/>
        </w:rPr>
        <w:t xml:space="preserve">Ketubot </w:t>
      </w:r>
      <w:r w:rsidR="009544AB" w:rsidRPr="00E54204">
        <w:rPr>
          <w:szCs w:val="20"/>
        </w:rPr>
        <w:t xml:space="preserve">103b, we read that a </w:t>
      </w:r>
      <w:r w:rsidR="009544AB" w:rsidRPr="00E54204">
        <w:rPr>
          <w:i/>
          <w:szCs w:val="20"/>
        </w:rPr>
        <w:t>bat kol</w:t>
      </w:r>
      <w:r w:rsidR="009544AB" w:rsidRPr="00E54204">
        <w:rPr>
          <w:szCs w:val="20"/>
        </w:rPr>
        <w:t xml:space="preserve"> announced that anyone who was present at Rabbi’s (i.e., R. Judah ha-Nasi) funeral is destined for the world to come.  Rabbi’s laundryman, who was absent </w:t>
      </w:r>
      <w:r w:rsidRPr="00E54204">
        <w:rPr>
          <w:szCs w:val="20"/>
        </w:rPr>
        <w:t xml:space="preserve">on </w:t>
      </w:r>
      <w:r w:rsidR="009544AB" w:rsidRPr="00E54204">
        <w:rPr>
          <w:szCs w:val="20"/>
        </w:rPr>
        <w:t>the day he died, discov</w:t>
      </w:r>
      <w:r w:rsidRPr="00E54204">
        <w:rPr>
          <w:szCs w:val="20"/>
        </w:rPr>
        <w:t xml:space="preserve">ers the promise and is so grief-stricken that he goes up </w:t>
      </w:r>
      <w:r w:rsidR="00F14758" w:rsidRPr="00E54204">
        <w:rPr>
          <w:szCs w:val="20"/>
        </w:rPr>
        <w:t>the roof and jumps to his death</w:t>
      </w:r>
      <w:r w:rsidRPr="00E54204">
        <w:rPr>
          <w:szCs w:val="20"/>
        </w:rPr>
        <w:t xml:space="preserve"> whereupon the </w:t>
      </w:r>
      <w:r w:rsidRPr="00E54204">
        <w:rPr>
          <w:i/>
          <w:szCs w:val="20"/>
        </w:rPr>
        <w:t xml:space="preserve">bat kol </w:t>
      </w:r>
      <w:r w:rsidRPr="00E54204">
        <w:rPr>
          <w:szCs w:val="20"/>
        </w:rPr>
        <w:t>appears a second time, stating that the laundryman is destined to enjoy life in the “world to come.”  In another story, David defends the right for his son, Solomon, to enter the world to come before a heavenly tribunal of rabbis.</w:t>
      </w:r>
      <w:r w:rsidRPr="00E54204">
        <w:rPr>
          <w:rStyle w:val="FootnoteReference"/>
          <w:szCs w:val="20"/>
        </w:rPr>
        <w:footnoteReference w:id="319"/>
      </w:r>
      <w:r w:rsidR="00AF19C7" w:rsidRPr="00E54204">
        <w:rPr>
          <w:szCs w:val="20"/>
        </w:rPr>
        <w:t xml:space="preserve">  The </w:t>
      </w:r>
      <w:r w:rsidR="00AF19C7" w:rsidRPr="00E54204">
        <w:rPr>
          <w:i/>
          <w:szCs w:val="20"/>
        </w:rPr>
        <w:t xml:space="preserve">bat kol </w:t>
      </w:r>
      <w:r w:rsidR="00AF19C7" w:rsidRPr="00E54204">
        <w:rPr>
          <w:szCs w:val="20"/>
        </w:rPr>
        <w:t>intervenes on David’s behalf and the tribunal desists from opposing David’s plea.</w:t>
      </w:r>
      <w:r w:rsidR="001C1433" w:rsidRPr="00E54204">
        <w:rPr>
          <w:szCs w:val="20"/>
        </w:rPr>
        <w:t xml:space="preserve">  Of the twelve passages in the “world to come” category</w:t>
      </w:r>
      <w:r w:rsidR="003F515F" w:rsidRPr="00E54204">
        <w:rPr>
          <w:szCs w:val="20"/>
        </w:rPr>
        <w:t>, only four designate a rabbi’s entry into the “world to come” the remaining</w:t>
      </w:r>
      <w:r w:rsidR="001C1433" w:rsidRPr="00E54204">
        <w:rPr>
          <w:szCs w:val="20"/>
        </w:rPr>
        <w:t xml:space="preserve"> eight examples announce the same decree for Israel and various individuals</w:t>
      </w:r>
      <w:r w:rsidR="003F515F" w:rsidRPr="00E54204">
        <w:rPr>
          <w:szCs w:val="20"/>
        </w:rPr>
        <w:t xml:space="preserve">.  </w:t>
      </w:r>
      <w:r w:rsidR="00AF19C7" w:rsidRPr="00E54204">
        <w:rPr>
          <w:szCs w:val="20"/>
        </w:rPr>
        <w:t>It is for such reasons that one may speculate that it was an important topic for the rabbis.  The overarching message in such passages seems to explain that God welcomes repentant sinners and the contrite of heart into “the world to come.”  W</w:t>
      </w:r>
      <w:r w:rsidR="00ED18D8" w:rsidRPr="00E54204">
        <w:rPr>
          <w:szCs w:val="20"/>
        </w:rPr>
        <w:t xml:space="preserve">ith this presupposition, these stories could be read as a form of remedying some of these uncertainties.  </w:t>
      </w:r>
    </w:p>
    <w:p w14:paraId="687C928E" w14:textId="77777777" w:rsidR="00043EF2" w:rsidRPr="00E54204" w:rsidRDefault="00ED18D8" w:rsidP="006E723D">
      <w:pPr>
        <w:spacing w:after="160"/>
        <w:ind w:firstLine="720"/>
        <w:rPr>
          <w:szCs w:val="20"/>
        </w:rPr>
      </w:pPr>
      <w:r w:rsidRPr="00E54204">
        <w:rPr>
          <w:szCs w:val="20"/>
        </w:rPr>
        <w:t>Curiously, the importance of eternal life</w:t>
      </w:r>
      <w:r w:rsidR="00766A7A" w:rsidRPr="00E54204">
        <w:rPr>
          <w:szCs w:val="20"/>
        </w:rPr>
        <w:t xml:space="preserve"> was significant</w:t>
      </w:r>
      <w:r w:rsidRPr="00E54204">
        <w:rPr>
          <w:szCs w:val="20"/>
        </w:rPr>
        <w:t xml:space="preserve"> in the works of some Second Temple movements.  Scholars have observed that the concept was in some instances tied to the idea of martyrdom.  The concept of a martyr being “saved” is well grounded in the Maccabean literature and predates the Christian</w:t>
      </w:r>
      <w:r w:rsidR="00043EF2" w:rsidRPr="00E54204">
        <w:rPr>
          <w:szCs w:val="20"/>
        </w:rPr>
        <w:t xml:space="preserve"> </w:t>
      </w:r>
      <w:r w:rsidRPr="00E54204">
        <w:rPr>
          <w:szCs w:val="20"/>
        </w:rPr>
        <w:t>appropriation</w:t>
      </w:r>
      <w:r w:rsidR="00043EF2" w:rsidRPr="00E54204">
        <w:rPr>
          <w:szCs w:val="20"/>
        </w:rPr>
        <w:t xml:space="preserve"> </w:t>
      </w:r>
      <w:r w:rsidRPr="00E54204">
        <w:rPr>
          <w:szCs w:val="20"/>
        </w:rPr>
        <w:t>of such a concept.</w:t>
      </w:r>
      <w:r w:rsidRPr="00E54204">
        <w:rPr>
          <w:szCs w:val="20"/>
          <w:vertAlign w:val="superscript"/>
        </w:rPr>
        <w:footnoteReference w:id="320"/>
      </w:r>
      <w:r w:rsidR="00043EF2" w:rsidRPr="00E54204">
        <w:rPr>
          <w:szCs w:val="20"/>
        </w:rPr>
        <w:t xml:space="preserve">  Christian writings, such as 1</w:t>
      </w:r>
      <w:r w:rsidR="00043EF2" w:rsidRPr="00E54204">
        <w:rPr>
          <w:szCs w:val="20"/>
          <w:vertAlign w:val="superscript"/>
        </w:rPr>
        <w:t>st</w:t>
      </w:r>
      <w:r w:rsidR="00043EF2" w:rsidRPr="00E54204">
        <w:rPr>
          <w:szCs w:val="20"/>
        </w:rPr>
        <w:t xml:space="preserve"> John 5:13, assure Christians that they have eternal life through Jesus.  </w:t>
      </w:r>
    </w:p>
    <w:p w14:paraId="0E0F3E29" w14:textId="77777777" w:rsidR="00834C17" w:rsidRPr="00E54204" w:rsidRDefault="00043EF2" w:rsidP="00C55355">
      <w:pPr>
        <w:ind w:firstLine="720"/>
        <w:rPr>
          <w:szCs w:val="20"/>
        </w:rPr>
      </w:pPr>
      <w:r w:rsidRPr="00E54204">
        <w:rPr>
          <w:szCs w:val="20"/>
        </w:rPr>
        <w:t>Due to Roman</w:t>
      </w:r>
      <w:r w:rsidR="00ED18D8" w:rsidRPr="00E54204">
        <w:rPr>
          <w:szCs w:val="20"/>
        </w:rPr>
        <w:t xml:space="preserve"> rule, the rabbis may have interpreted their </w:t>
      </w:r>
      <w:r w:rsidRPr="00E54204">
        <w:rPr>
          <w:szCs w:val="20"/>
        </w:rPr>
        <w:t xml:space="preserve">own </w:t>
      </w:r>
      <w:r w:rsidR="00ED18D8" w:rsidRPr="00E54204">
        <w:rPr>
          <w:szCs w:val="20"/>
        </w:rPr>
        <w:t>persecution</w:t>
      </w:r>
      <w:r w:rsidRPr="00E54204">
        <w:rPr>
          <w:szCs w:val="20"/>
        </w:rPr>
        <w:t>s</w:t>
      </w:r>
      <w:r w:rsidR="00ED18D8" w:rsidRPr="00E54204">
        <w:rPr>
          <w:szCs w:val="20"/>
        </w:rPr>
        <w:t xml:space="preserve"> and to an extent deat</w:t>
      </w:r>
      <w:r w:rsidR="0018496D" w:rsidRPr="00E54204">
        <w:rPr>
          <w:szCs w:val="20"/>
        </w:rPr>
        <w:t>hs, as a stepping-stone</w:t>
      </w:r>
      <w:r w:rsidR="00ED18D8" w:rsidRPr="00E54204">
        <w:rPr>
          <w:szCs w:val="20"/>
        </w:rPr>
        <w:t xml:space="preserve"> into eternity</w:t>
      </w:r>
      <w:r w:rsidRPr="00E54204">
        <w:rPr>
          <w:szCs w:val="20"/>
        </w:rPr>
        <w:t xml:space="preserve"> </w:t>
      </w:r>
      <w:r w:rsidR="0018496D" w:rsidRPr="00E54204">
        <w:rPr>
          <w:szCs w:val="20"/>
        </w:rPr>
        <w:t>in addition to</w:t>
      </w:r>
      <w:r w:rsidRPr="00E54204">
        <w:rPr>
          <w:szCs w:val="20"/>
        </w:rPr>
        <w:t xml:space="preserve"> the collective memory of the Jewish people</w:t>
      </w:r>
      <w:r w:rsidR="0068257D" w:rsidRPr="00E54204">
        <w:rPr>
          <w:szCs w:val="20"/>
        </w:rPr>
        <w:t>.  In addition, it is probable</w:t>
      </w:r>
      <w:r w:rsidR="00ED18D8" w:rsidRPr="00E54204">
        <w:rPr>
          <w:szCs w:val="20"/>
        </w:rPr>
        <w:t xml:space="preserve"> that for polemical reasons,</w:t>
      </w:r>
      <w:r w:rsidRPr="00E54204">
        <w:rPr>
          <w:szCs w:val="20"/>
        </w:rPr>
        <w:t xml:space="preserve"> </w:t>
      </w:r>
      <w:r w:rsidR="0068257D" w:rsidRPr="00E54204">
        <w:rPr>
          <w:szCs w:val="20"/>
        </w:rPr>
        <w:t>such as</w:t>
      </w:r>
      <w:r w:rsidRPr="00E54204">
        <w:rPr>
          <w:szCs w:val="20"/>
        </w:rPr>
        <w:t xml:space="preserve"> with Christians,</w:t>
      </w:r>
      <w:r w:rsidR="00834C17" w:rsidRPr="00E54204">
        <w:rPr>
          <w:szCs w:val="20"/>
        </w:rPr>
        <w:t xml:space="preserve"> the rabbis reinforced the notion that they were able to merit entry into the “world to come” unlike the heretics of their day.  </w:t>
      </w:r>
      <w:r w:rsidR="00C86C03" w:rsidRPr="00E54204">
        <w:rPr>
          <w:szCs w:val="20"/>
        </w:rPr>
        <w:t xml:space="preserve">Indeed, heretics and apostates were known to </w:t>
      </w:r>
      <w:r w:rsidR="00C86C03" w:rsidRPr="00E54204">
        <w:rPr>
          <w:i/>
          <w:szCs w:val="20"/>
        </w:rPr>
        <w:t>not</w:t>
      </w:r>
      <w:r w:rsidR="00C86C03" w:rsidRPr="00E54204">
        <w:rPr>
          <w:szCs w:val="20"/>
        </w:rPr>
        <w:t xml:space="preserve"> have a share in the “world to come.”</w:t>
      </w:r>
      <w:r w:rsidR="00C86C03" w:rsidRPr="00E54204">
        <w:rPr>
          <w:rStyle w:val="FootnoteReference"/>
          <w:szCs w:val="20"/>
        </w:rPr>
        <w:footnoteReference w:id="321"/>
      </w:r>
      <w:r w:rsidR="0068257D" w:rsidRPr="00E54204">
        <w:rPr>
          <w:szCs w:val="20"/>
        </w:rPr>
        <w:t xml:space="preserve">  Moreover, r</w:t>
      </w:r>
      <w:r w:rsidR="00223876" w:rsidRPr="00E54204">
        <w:rPr>
          <w:szCs w:val="20"/>
        </w:rPr>
        <w:t>abbinic writings are explicit</w:t>
      </w:r>
      <w:r w:rsidR="004D3BCB" w:rsidRPr="00E54204">
        <w:rPr>
          <w:szCs w:val="20"/>
        </w:rPr>
        <w:t xml:space="preserve"> on avoiding social contact with heretics at all costs, as such individuals were viewed highly dangerous to rabbinic Judaism.</w:t>
      </w:r>
      <w:r w:rsidR="0068257D" w:rsidRPr="00E54204">
        <w:rPr>
          <w:szCs w:val="20"/>
        </w:rPr>
        <w:t xml:space="preserve">  Richard Kalmin summarizes the Palestinian rabbinic view as follows</w:t>
      </w:r>
      <w:r w:rsidR="00834C17" w:rsidRPr="00E54204">
        <w:rPr>
          <w:szCs w:val="20"/>
        </w:rPr>
        <w:t>:</w:t>
      </w:r>
    </w:p>
    <w:p w14:paraId="79D065EF" w14:textId="77777777" w:rsidR="00834C17" w:rsidRPr="00E54204" w:rsidRDefault="00834C17" w:rsidP="00C55355">
      <w:pPr>
        <w:spacing w:line="240" w:lineRule="auto"/>
        <w:rPr>
          <w:szCs w:val="20"/>
        </w:rPr>
      </w:pPr>
      <w:r w:rsidRPr="00E54204">
        <w:rPr>
          <w:szCs w:val="20"/>
        </w:rPr>
        <w:t xml:space="preserve">The urgency and persistence with which Palestinian sources forbid contact between Palestinian rabbis on the one hand and </w:t>
      </w:r>
      <w:r w:rsidRPr="00E54204">
        <w:rPr>
          <w:i/>
          <w:szCs w:val="20"/>
        </w:rPr>
        <w:t xml:space="preserve">Minim </w:t>
      </w:r>
      <w:r w:rsidRPr="00E54204">
        <w:rPr>
          <w:szCs w:val="20"/>
        </w:rPr>
        <w:t xml:space="preserve">and Christians on the other suggests strongly that such contact took place and was probably routine.  Several Palestinian sources urge rabbis and their families to avoid </w:t>
      </w:r>
      <w:r w:rsidRPr="00E54204">
        <w:rPr>
          <w:i/>
          <w:szCs w:val="20"/>
        </w:rPr>
        <w:t xml:space="preserve">Minim </w:t>
      </w:r>
      <w:r w:rsidRPr="00E54204">
        <w:rPr>
          <w:szCs w:val="20"/>
        </w:rPr>
        <w:t>and Christians, contact with whom is depicted as dangerous but sought after because of their skill as healers and the attractiveness of their words.</w:t>
      </w:r>
      <w:r w:rsidRPr="00E54204">
        <w:rPr>
          <w:rStyle w:val="FootnoteReference"/>
          <w:szCs w:val="20"/>
        </w:rPr>
        <w:footnoteReference w:id="322"/>
      </w:r>
    </w:p>
    <w:p w14:paraId="4AE3871F" w14:textId="77777777" w:rsidR="00834C17" w:rsidRPr="00E54204" w:rsidRDefault="00834C17" w:rsidP="00834C17">
      <w:pPr>
        <w:spacing w:line="240" w:lineRule="auto"/>
        <w:rPr>
          <w:szCs w:val="20"/>
        </w:rPr>
      </w:pPr>
    </w:p>
    <w:p w14:paraId="15C38F80" w14:textId="77777777" w:rsidR="00ED18D8" w:rsidRPr="00E54204" w:rsidRDefault="0068257D" w:rsidP="0068257D">
      <w:pPr>
        <w:rPr>
          <w:szCs w:val="20"/>
        </w:rPr>
      </w:pPr>
      <w:r w:rsidRPr="00E54204">
        <w:rPr>
          <w:szCs w:val="20"/>
        </w:rPr>
        <w:t xml:space="preserve">Therefore, heretical groups like the Christians, in some respects, embodied a kind </w:t>
      </w:r>
      <w:r w:rsidR="002D196B" w:rsidRPr="00E54204">
        <w:rPr>
          <w:szCs w:val="20"/>
        </w:rPr>
        <w:t>of theological temptation due to its efficacy to carry</w:t>
      </w:r>
      <w:r w:rsidRPr="00E54204">
        <w:rPr>
          <w:szCs w:val="20"/>
        </w:rPr>
        <w:t xml:space="preserve"> out healings and </w:t>
      </w:r>
      <w:r w:rsidR="002D196B" w:rsidRPr="00E54204">
        <w:rPr>
          <w:szCs w:val="20"/>
        </w:rPr>
        <w:t xml:space="preserve">engage in </w:t>
      </w:r>
      <w:r w:rsidRPr="00E54204">
        <w:rPr>
          <w:szCs w:val="20"/>
        </w:rPr>
        <w:t>theologic</w:t>
      </w:r>
      <w:r w:rsidR="002D196B" w:rsidRPr="00E54204">
        <w:rPr>
          <w:szCs w:val="20"/>
        </w:rPr>
        <w:t>al arguments from the Hebrew Bible</w:t>
      </w:r>
      <w:r w:rsidRPr="00E54204">
        <w:rPr>
          <w:szCs w:val="20"/>
        </w:rPr>
        <w:t xml:space="preserve">.  </w:t>
      </w:r>
      <w:r w:rsidR="004D3BCB" w:rsidRPr="00E54204">
        <w:rPr>
          <w:szCs w:val="20"/>
        </w:rPr>
        <w:t>Rabbinic writings even record s</w:t>
      </w:r>
      <w:r w:rsidR="00ED18D8" w:rsidRPr="00E54204">
        <w:rPr>
          <w:szCs w:val="20"/>
        </w:rPr>
        <w:t>everal run-ins with heretics (</w:t>
      </w:r>
      <w:r w:rsidR="00ED18D8" w:rsidRPr="00E54204">
        <w:rPr>
          <w:i/>
          <w:szCs w:val="20"/>
        </w:rPr>
        <w:t>minim</w:t>
      </w:r>
      <w:r w:rsidR="00ED18D8" w:rsidRPr="00E54204">
        <w:rPr>
          <w:szCs w:val="20"/>
        </w:rPr>
        <w:t>)</w:t>
      </w:r>
      <w:r w:rsidR="00ED18D8" w:rsidRPr="00E54204">
        <w:rPr>
          <w:szCs w:val="20"/>
          <w:vertAlign w:val="superscript"/>
        </w:rPr>
        <w:footnoteReference w:id="323"/>
      </w:r>
      <w:r w:rsidR="00ED18D8" w:rsidRPr="00E54204">
        <w:rPr>
          <w:szCs w:val="20"/>
        </w:rPr>
        <w:t xml:space="preserve"> and non-rabbinic Jews, which suggests that this was a probable reality during the rabbinical movement’s time in the land of Israel, especially in the Galilee region.</w:t>
      </w:r>
      <w:r w:rsidR="004D3BCB" w:rsidRPr="00E54204">
        <w:rPr>
          <w:rStyle w:val="FootnoteReference"/>
          <w:szCs w:val="20"/>
        </w:rPr>
        <w:footnoteReference w:id="324"/>
      </w:r>
      <w:r w:rsidR="00ED18D8" w:rsidRPr="00E54204">
        <w:rPr>
          <w:szCs w:val="20"/>
        </w:rPr>
        <w:t xml:space="preserve">  Nevertheless, the point to be made is that the rabbinic community recorded stories of the </w:t>
      </w:r>
      <w:r w:rsidR="00ED18D8" w:rsidRPr="00E54204">
        <w:rPr>
          <w:i/>
          <w:szCs w:val="20"/>
        </w:rPr>
        <w:t>bat kol</w:t>
      </w:r>
      <w:r w:rsidR="00ED18D8" w:rsidRPr="00E54204">
        <w:rPr>
          <w:szCs w:val="20"/>
        </w:rPr>
        <w:t xml:space="preserve"> heralding entries into the “world to come,” principally in moments of death and or martyrdom.  As Kristin Lindbeck, aptly wrote in </w:t>
      </w:r>
      <w:r w:rsidR="00ED18D8" w:rsidRPr="00E54204">
        <w:rPr>
          <w:i/>
          <w:szCs w:val="20"/>
        </w:rPr>
        <w:t>Elijah and the Rabbis</w:t>
      </w:r>
      <w:r w:rsidR="00ED18D8" w:rsidRPr="00E54204">
        <w:rPr>
          <w:szCs w:val="20"/>
        </w:rPr>
        <w:t>:</w:t>
      </w:r>
    </w:p>
    <w:p w14:paraId="0A64CFCF" w14:textId="77777777" w:rsidR="00F760CB" w:rsidRPr="00E54204" w:rsidRDefault="00ED18D8" w:rsidP="00F760CB">
      <w:pPr>
        <w:spacing w:line="240" w:lineRule="auto"/>
        <w:rPr>
          <w:szCs w:val="20"/>
        </w:rPr>
      </w:pPr>
      <w:r w:rsidRPr="00E54204">
        <w:rPr>
          <w:szCs w:val="20"/>
        </w:rPr>
        <w:t>The bat kol’s ‘so-and-so is called to life in the world to come’ contains an enormous wealth of meaning in few words, including the whole idea of God’s control of every person’s destiny at the moment of death.  In addition, because it is a formula and not the work of any one author, it indicates that the bat kol was connected in the popular mind with the moment of death, as Elijah was not.</w:t>
      </w:r>
      <w:r w:rsidRPr="00E54204">
        <w:rPr>
          <w:szCs w:val="20"/>
          <w:vertAlign w:val="superscript"/>
        </w:rPr>
        <w:footnoteReference w:id="325"/>
      </w:r>
      <w:r w:rsidRPr="00E54204">
        <w:rPr>
          <w:szCs w:val="20"/>
        </w:rPr>
        <w:t xml:space="preserve">  The same holds true for the other characteristic functions of the bat kol, but not as strongly insofar as they are not expressed in such standardized language.</w:t>
      </w:r>
      <w:r w:rsidRPr="00E54204">
        <w:rPr>
          <w:szCs w:val="20"/>
          <w:vertAlign w:val="superscript"/>
        </w:rPr>
        <w:footnoteReference w:id="326"/>
      </w:r>
    </w:p>
    <w:p w14:paraId="5884F56A" w14:textId="77777777" w:rsidR="00F760CB" w:rsidRPr="00E54204" w:rsidRDefault="00F760CB" w:rsidP="00F760CB">
      <w:pPr>
        <w:spacing w:line="240" w:lineRule="auto"/>
        <w:rPr>
          <w:szCs w:val="20"/>
        </w:rPr>
      </w:pPr>
    </w:p>
    <w:p w14:paraId="7FC7CCB4" w14:textId="77777777" w:rsidR="00ED18D8" w:rsidRPr="00E54204" w:rsidRDefault="00ED18D8" w:rsidP="00F760CB">
      <w:pPr>
        <w:ind w:firstLine="720"/>
        <w:rPr>
          <w:szCs w:val="20"/>
        </w:rPr>
      </w:pPr>
      <w:r w:rsidRPr="00E54204">
        <w:rPr>
          <w:szCs w:val="20"/>
        </w:rPr>
        <w:t>As Lindbeck has signaled, no other function occurs with the same standardized language, which in my opinion bears significance</w:t>
      </w:r>
      <w:r w:rsidR="00E40050" w:rsidRPr="00E54204">
        <w:rPr>
          <w:szCs w:val="20"/>
        </w:rPr>
        <w:t xml:space="preserve"> for categorical purposes</w:t>
      </w:r>
      <w:r w:rsidRPr="00E54204">
        <w:rPr>
          <w:szCs w:val="20"/>
        </w:rPr>
        <w:t>.</w:t>
      </w:r>
      <w:r w:rsidR="00E40050" w:rsidRPr="00E54204">
        <w:rPr>
          <w:szCs w:val="20"/>
        </w:rPr>
        <w:t xml:space="preserve">  Since the rabbis preserved a standard enough phrase when retelling stories of the </w:t>
      </w:r>
      <w:r w:rsidR="00E40050" w:rsidRPr="00E54204">
        <w:rPr>
          <w:i/>
          <w:szCs w:val="20"/>
        </w:rPr>
        <w:t xml:space="preserve">bat kol </w:t>
      </w:r>
      <w:r w:rsidR="00E40050" w:rsidRPr="00E54204">
        <w:rPr>
          <w:szCs w:val="20"/>
        </w:rPr>
        <w:t xml:space="preserve">this may signal an original or paramount function for this “heavenly voice.”  </w:t>
      </w:r>
      <w:r w:rsidRPr="00E54204">
        <w:rPr>
          <w:szCs w:val="20"/>
        </w:rPr>
        <w:t>Lindbeck also comments how these stories exemplify that it was God’s prerogative in deciding a person</w:t>
      </w:r>
      <w:r w:rsidR="00DE7193" w:rsidRPr="00E54204">
        <w:rPr>
          <w:szCs w:val="20"/>
        </w:rPr>
        <w:t>’s fate</w:t>
      </w:r>
      <w:r w:rsidRPr="00E54204">
        <w:rPr>
          <w:szCs w:val="20"/>
        </w:rPr>
        <w:t xml:space="preserve"> via the </w:t>
      </w:r>
      <w:r w:rsidRPr="00E54204">
        <w:rPr>
          <w:i/>
          <w:szCs w:val="20"/>
        </w:rPr>
        <w:t>bat kol</w:t>
      </w:r>
      <w:r w:rsidRPr="00E54204">
        <w:rPr>
          <w:szCs w:val="20"/>
        </w:rPr>
        <w:t>.  Certainly, these stories demonstrate God’s exclusive authority as judge, and yet his ruling is depicted as predicated on the actions committed by the individual.  Moreover, in at least two of these stories a non-Jew barters with a rabbi in order to achieve life in the world to come.  This underscores the authority delegated to the sages by heaven, even to a surprising extent.  Lastly, since the person being referred to in these cases has typically died, these words of confirmation are, th</w:t>
      </w:r>
      <w:r w:rsidR="009D68E6" w:rsidRPr="00E54204">
        <w:rPr>
          <w:szCs w:val="20"/>
        </w:rPr>
        <w:t>en, for the sak</w:t>
      </w:r>
      <w:r w:rsidR="000F210B" w:rsidRPr="00E54204">
        <w:rPr>
          <w:szCs w:val="20"/>
        </w:rPr>
        <w:t>e of the listeners, and later, the rabbis reading these texts</w:t>
      </w:r>
      <w:r w:rsidRPr="00E54204">
        <w:rPr>
          <w:szCs w:val="20"/>
        </w:rPr>
        <w:t xml:space="preserve">.  Such </w:t>
      </w:r>
      <w:r w:rsidR="00B208BA" w:rsidRPr="00E54204">
        <w:rPr>
          <w:szCs w:val="20"/>
        </w:rPr>
        <w:t>a figure was R. Akiva, a second-</w:t>
      </w:r>
      <w:r w:rsidRPr="00E54204">
        <w:rPr>
          <w:szCs w:val="20"/>
        </w:rPr>
        <w:t xml:space="preserve">generation </w:t>
      </w:r>
      <w:r w:rsidRPr="00E54204">
        <w:rPr>
          <w:i/>
          <w:szCs w:val="20"/>
        </w:rPr>
        <w:t>Tanna</w:t>
      </w:r>
      <w:r w:rsidR="00526620" w:rsidRPr="00E54204">
        <w:rPr>
          <w:szCs w:val="20"/>
        </w:rPr>
        <w:t xml:space="preserve"> </w:t>
      </w:r>
      <w:r w:rsidRPr="00E54204">
        <w:rPr>
          <w:szCs w:val="20"/>
        </w:rPr>
        <w:t>whose famous martyrdom is one of the most epic stories in all of the Talmud.</w:t>
      </w:r>
    </w:p>
    <w:p w14:paraId="2F05167E" w14:textId="77777777" w:rsidR="00ED18D8" w:rsidRPr="00E54204" w:rsidRDefault="00ED18D8" w:rsidP="00ED18D8">
      <w:pPr>
        <w:spacing w:after="160"/>
        <w:rPr>
          <w:szCs w:val="20"/>
        </w:rPr>
      </w:pPr>
      <w:r w:rsidRPr="00E54204">
        <w:rPr>
          <w:szCs w:val="20"/>
        </w:rPr>
        <w:tab/>
        <w:t>Shortly after the destruction in Jerusalem in 70 CE, the center of the rabbinical movement relocated to Yavneh (or Yamnia), ca. 90 CE.</w:t>
      </w:r>
      <w:r w:rsidR="00AD1CC7" w:rsidRPr="00E54204">
        <w:rPr>
          <w:rStyle w:val="FootnoteReference"/>
          <w:szCs w:val="20"/>
        </w:rPr>
        <w:footnoteReference w:id="327"/>
      </w:r>
      <w:r w:rsidRPr="00E54204">
        <w:rPr>
          <w:szCs w:val="20"/>
        </w:rPr>
        <w:t xml:space="preserve">  During the next forty years, R. Akiva grew in prominence and authority among his peers.  One stor</w:t>
      </w:r>
      <w:r w:rsidR="007C0F95" w:rsidRPr="00E54204">
        <w:rPr>
          <w:szCs w:val="20"/>
        </w:rPr>
        <w:t>y</w:t>
      </w:r>
      <w:r w:rsidR="00FD2B52" w:rsidRPr="00E54204">
        <w:rPr>
          <w:szCs w:val="20"/>
        </w:rPr>
        <w:t xml:space="preserve"> that</w:t>
      </w:r>
      <w:r w:rsidR="007C0F95" w:rsidRPr="00E54204">
        <w:rPr>
          <w:szCs w:val="20"/>
        </w:rPr>
        <w:t xml:space="preserve"> recounts his final moments is</w:t>
      </w:r>
      <w:r w:rsidRPr="00E54204">
        <w:rPr>
          <w:szCs w:val="20"/>
        </w:rPr>
        <w:t xml:space="preserve"> found in the Bavli in tractate </w:t>
      </w:r>
      <w:r w:rsidR="000F7590" w:rsidRPr="00E54204">
        <w:rPr>
          <w:i/>
          <w:szCs w:val="20"/>
        </w:rPr>
        <w:t>Berac</w:t>
      </w:r>
      <w:r w:rsidRPr="00E54204">
        <w:rPr>
          <w:i/>
          <w:szCs w:val="20"/>
        </w:rPr>
        <w:t>hot</w:t>
      </w:r>
      <w:r w:rsidRPr="00E54204">
        <w:rPr>
          <w:szCs w:val="20"/>
          <w:vertAlign w:val="superscript"/>
        </w:rPr>
        <w:footnoteReference w:id="328"/>
      </w:r>
      <w:r w:rsidRPr="00E54204">
        <w:rPr>
          <w:szCs w:val="20"/>
        </w:rPr>
        <w:t xml:space="preserve"> 61b.  The Yerushalmi contains a parallel version but excludes the presence of the </w:t>
      </w:r>
      <w:r w:rsidRPr="00E54204">
        <w:rPr>
          <w:i/>
          <w:szCs w:val="20"/>
        </w:rPr>
        <w:t>bat kol</w:t>
      </w:r>
      <w:r w:rsidRPr="00E54204">
        <w:rPr>
          <w:szCs w:val="20"/>
        </w:rPr>
        <w:t xml:space="preserve">, including some slight variations in the details, such as the presence of a Roman governor, and R. Akiva’s reading of the </w:t>
      </w:r>
      <w:r w:rsidRPr="00E54204">
        <w:rPr>
          <w:i/>
          <w:szCs w:val="20"/>
        </w:rPr>
        <w:t>Sh’ma</w:t>
      </w:r>
      <w:r w:rsidRPr="00E54204">
        <w:rPr>
          <w:szCs w:val="20"/>
        </w:rPr>
        <w:t xml:space="preserve"> rather than preparing to do so as narrated in the Bavli.</w:t>
      </w:r>
      <w:r w:rsidRPr="00E54204">
        <w:rPr>
          <w:szCs w:val="20"/>
          <w:vertAlign w:val="superscript"/>
        </w:rPr>
        <w:footnoteReference w:id="329"/>
      </w:r>
      <w:r w:rsidRPr="00E54204">
        <w:rPr>
          <w:szCs w:val="20"/>
        </w:rPr>
        <w:t xml:space="preserve">  It is </w:t>
      </w:r>
      <w:r w:rsidR="00B023CB" w:rsidRPr="00E54204">
        <w:rPr>
          <w:szCs w:val="20"/>
        </w:rPr>
        <w:t xml:space="preserve">unclear as to why one version </w:t>
      </w:r>
      <w:r w:rsidRPr="00E54204">
        <w:rPr>
          <w:szCs w:val="20"/>
        </w:rPr>
        <w:t>include</w:t>
      </w:r>
      <w:r w:rsidR="00B023CB" w:rsidRPr="00E54204">
        <w:rPr>
          <w:szCs w:val="20"/>
        </w:rPr>
        <w:t>s</w:t>
      </w:r>
      <w:r w:rsidRPr="00E54204">
        <w:rPr>
          <w:szCs w:val="20"/>
        </w:rPr>
        <w:t xml:space="preserve"> the </w:t>
      </w:r>
      <w:r w:rsidRPr="00E54204">
        <w:rPr>
          <w:i/>
          <w:szCs w:val="20"/>
        </w:rPr>
        <w:t xml:space="preserve">bat kol </w:t>
      </w:r>
      <w:r w:rsidR="00B023CB" w:rsidRPr="00E54204">
        <w:rPr>
          <w:szCs w:val="20"/>
        </w:rPr>
        <w:t xml:space="preserve">and the other does not.  </w:t>
      </w:r>
      <w:r w:rsidRPr="00E54204">
        <w:rPr>
          <w:szCs w:val="20"/>
        </w:rPr>
        <w:t>There are different theories that have been proposed by scholars of rabbinics in terms of the two major sources (the Palestinian and Babylonian Talmudim) such as the plurality of ancient sources or parallel versions as being later revised based on popular needs.</w:t>
      </w:r>
      <w:r w:rsidRPr="00E54204">
        <w:rPr>
          <w:szCs w:val="20"/>
          <w:vertAlign w:val="superscript"/>
        </w:rPr>
        <w:footnoteReference w:id="330"/>
      </w:r>
      <w:r w:rsidRPr="00E54204">
        <w:rPr>
          <w:szCs w:val="20"/>
        </w:rPr>
        <w:t xml:space="preserve">  Interestingly enough, Isaiah Gafni has documented about twenty-five parallels between Josephus (</w:t>
      </w:r>
      <w:r w:rsidRPr="00E54204">
        <w:rPr>
          <w:i/>
          <w:szCs w:val="20"/>
        </w:rPr>
        <w:t>Jewish Antiquities</w:t>
      </w:r>
      <w:r w:rsidRPr="00E54204">
        <w:rPr>
          <w:szCs w:val="20"/>
        </w:rPr>
        <w:t>) and the Bavli, while none with the Jerusalem version.</w:t>
      </w:r>
      <w:r w:rsidRPr="00E54204">
        <w:rPr>
          <w:szCs w:val="20"/>
          <w:vertAlign w:val="superscript"/>
        </w:rPr>
        <w:footnoteReference w:id="331"/>
      </w:r>
      <w:r w:rsidRPr="00E54204">
        <w:rPr>
          <w:szCs w:val="20"/>
        </w:rPr>
        <w:t xml:space="preserve">  Though this finding is not definitive, it nonetheless points to some of the complexities in ascribing firm historical dates for the rabbinical corpus.  The Bavli in either case, seems to favor retaining this supernatural element, at least in this story.</w:t>
      </w:r>
      <w:r w:rsidRPr="00E54204">
        <w:rPr>
          <w:szCs w:val="20"/>
          <w:vertAlign w:val="superscript"/>
        </w:rPr>
        <w:footnoteReference w:id="332"/>
      </w:r>
      <w:r w:rsidRPr="00E54204">
        <w:rPr>
          <w:szCs w:val="20"/>
        </w:rPr>
        <w:t xml:space="preserve">  </w:t>
      </w:r>
    </w:p>
    <w:p w14:paraId="713CB869" w14:textId="77777777" w:rsidR="00ED18D8" w:rsidRPr="00E54204" w:rsidRDefault="00ED18D8" w:rsidP="006E723D">
      <w:pPr>
        <w:spacing w:after="160"/>
        <w:ind w:firstLine="720"/>
        <w:rPr>
          <w:szCs w:val="20"/>
        </w:rPr>
      </w:pPr>
      <w:r w:rsidRPr="00E54204">
        <w:rPr>
          <w:szCs w:val="20"/>
        </w:rPr>
        <w:t>The section begins by the writers of the Bavli juxtaposing statements of R. Eliezer b. Hyrcanus,</w:t>
      </w:r>
      <w:r w:rsidRPr="00E54204">
        <w:rPr>
          <w:szCs w:val="20"/>
          <w:vertAlign w:val="superscript"/>
        </w:rPr>
        <w:footnoteReference w:id="333"/>
      </w:r>
      <w:r w:rsidRPr="00E54204">
        <w:rPr>
          <w:szCs w:val="20"/>
        </w:rPr>
        <w:t xml:space="preserve"> and his disciple R. Akiva, on the question of loving God with all of one’s “soul” (</w:t>
      </w:r>
      <w:r w:rsidRPr="00E54204">
        <w:rPr>
          <w:i/>
          <w:szCs w:val="20"/>
        </w:rPr>
        <w:t>nafshekha</w:t>
      </w:r>
      <w:r w:rsidRPr="00E54204">
        <w:rPr>
          <w:szCs w:val="20"/>
        </w:rPr>
        <w:t>) and all of one’s “might” (</w:t>
      </w:r>
      <w:r w:rsidRPr="00E54204">
        <w:rPr>
          <w:i/>
          <w:szCs w:val="20"/>
        </w:rPr>
        <w:t>meodekha</w:t>
      </w:r>
      <w:r w:rsidRPr="00E54204">
        <w:rPr>
          <w:szCs w:val="20"/>
        </w:rPr>
        <w:t>).</w:t>
      </w:r>
      <w:r w:rsidRPr="00E54204">
        <w:rPr>
          <w:szCs w:val="20"/>
          <w:vertAlign w:val="superscript"/>
        </w:rPr>
        <w:footnoteReference w:id="334"/>
      </w:r>
      <w:r w:rsidRPr="00E54204">
        <w:rPr>
          <w:szCs w:val="20"/>
        </w:rPr>
        <w:t xml:space="preserve">  R. Akiva’s interpretation is, “With all thy soul: [means] even if He takes away thy soul.”</w:t>
      </w:r>
      <w:r w:rsidRPr="00E54204">
        <w:rPr>
          <w:szCs w:val="20"/>
          <w:vertAlign w:val="superscript"/>
        </w:rPr>
        <w:footnoteReference w:id="335"/>
      </w:r>
      <w:r w:rsidRPr="00E54204">
        <w:rPr>
          <w:szCs w:val="20"/>
        </w:rPr>
        <w:t xml:space="preserve">  Interestingly enough, the writers proceed to illustrate precisely how R. Akiva’s words played out.  The text then makes a shift via the phrase, “our rabbis taught” (</w:t>
      </w:r>
      <w:r w:rsidRPr="00E54204">
        <w:rPr>
          <w:i/>
          <w:szCs w:val="20"/>
        </w:rPr>
        <w:t>tanoo rabanan</w:t>
      </w:r>
      <w:r w:rsidRPr="00E54204">
        <w:rPr>
          <w:szCs w:val="20"/>
        </w:rPr>
        <w:t>) which may be read as indicative of its Palestinian genesis</w:t>
      </w:r>
      <w:r w:rsidR="00362F41" w:rsidRPr="00E54204">
        <w:rPr>
          <w:szCs w:val="20"/>
        </w:rPr>
        <w:t xml:space="preserve"> since the term denotes the rabbinic teachers from Jewish Palestine</w:t>
      </w:r>
      <w:r w:rsidRPr="00E54204">
        <w:rPr>
          <w:szCs w:val="20"/>
        </w:rPr>
        <w:t xml:space="preserve">.  It should be noted, that a significant amount of stories depicting the </w:t>
      </w:r>
      <w:r w:rsidRPr="00E54204">
        <w:rPr>
          <w:i/>
          <w:szCs w:val="20"/>
        </w:rPr>
        <w:t>bat kol</w:t>
      </w:r>
      <w:r w:rsidRPr="00E54204">
        <w:rPr>
          <w:szCs w:val="20"/>
        </w:rPr>
        <w:t xml:space="preserve"> include this preliminary phrase.</w:t>
      </w:r>
      <w:r w:rsidRPr="00E54204">
        <w:rPr>
          <w:szCs w:val="20"/>
          <w:vertAlign w:val="superscript"/>
        </w:rPr>
        <w:footnoteReference w:id="336"/>
      </w:r>
      <w:r w:rsidRPr="00E54204">
        <w:rPr>
          <w:szCs w:val="20"/>
        </w:rPr>
        <w:t xml:space="preserve">  </w:t>
      </w:r>
    </w:p>
    <w:p w14:paraId="417B8FC7" w14:textId="77777777" w:rsidR="00ED18D8" w:rsidRPr="00E54204" w:rsidRDefault="00ED18D8" w:rsidP="00747BB6">
      <w:pPr>
        <w:ind w:firstLine="720"/>
        <w:rPr>
          <w:szCs w:val="20"/>
        </w:rPr>
      </w:pPr>
      <w:r w:rsidRPr="00E54204">
        <w:rPr>
          <w:szCs w:val="20"/>
        </w:rPr>
        <w:t>The story recounts how a “wicked government”</w:t>
      </w:r>
      <w:r w:rsidRPr="00E54204">
        <w:rPr>
          <w:szCs w:val="20"/>
          <w:vertAlign w:val="superscript"/>
        </w:rPr>
        <w:footnoteReference w:id="337"/>
      </w:r>
      <w:r w:rsidRPr="00E54204">
        <w:rPr>
          <w:szCs w:val="20"/>
        </w:rPr>
        <w:t xml:space="preserve"> prohibited Israel f</w:t>
      </w:r>
      <w:r w:rsidR="00AC63EB" w:rsidRPr="00E54204">
        <w:rPr>
          <w:szCs w:val="20"/>
        </w:rPr>
        <w:t>rom occupying itself with Torah</w:t>
      </w:r>
      <w:r w:rsidRPr="00E54204">
        <w:rPr>
          <w:szCs w:val="20"/>
        </w:rPr>
        <w:t>.</w:t>
      </w:r>
      <w:r w:rsidRPr="00E54204">
        <w:rPr>
          <w:szCs w:val="20"/>
          <w:vertAlign w:val="superscript"/>
        </w:rPr>
        <w:footnoteReference w:id="338"/>
      </w:r>
      <w:r w:rsidRPr="00E54204">
        <w:rPr>
          <w:szCs w:val="20"/>
        </w:rPr>
        <w:t xml:space="preserve">  However, a certain Pappos ben Yehudah</w:t>
      </w:r>
      <w:r w:rsidRPr="00E54204">
        <w:rPr>
          <w:szCs w:val="20"/>
          <w:vertAlign w:val="superscript"/>
        </w:rPr>
        <w:footnoteReference w:id="339"/>
      </w:r>
      <w:r w:rsidRPr="00E54204">
        <w:rPr>
          <w:szCs w:val="20"/>
        </w:rPr>
        <w:t xml:space="preserve"> finds R. Akiva breaking this prohibition by attracting crowds through the teaching of Torah.  Asked if he does not care, R. Akiva relates to Pappos a fanciful parable of a fox speaking to a group of fish fleeing from the nets of fishermen.  Essentially, the fish rebuke the fox’s proposal to join him on the land to avoid being captured, disclosing how much more dangerous it would be for them in the foreign-element of the earth.  R. Akiva says</w:t>
      </w:r>
      <w:r w:rsidR="00AC63EB" w:rsidRPr="00E54204">
        <w:rPr>
          <w:szCs w:val="20"/>
        </w:rPr>
        <w:t xml:space="preserve">, </w:t>
      </w:r>
      <w:r w:rsidR="006B0E99" w:rsidRPr="00E54204">
        <w:rPr>
          <w:szCs w:val="20"/>
        </w:rPr>
        <w:t>“so it is with us,</w:t>
      </w:r>
      <w:r w:rsidRPr="00E54204">
        <w:rPr>
          <w:szCs w:val="20"/>
        </w:rPr>
        <w:t xml:space="preserve"> studying Torah is our life and if we neglect it, it would be but true death.</w:t>
      </w:r>
      <w:r w:rsidR="00AC63EB" w:rsidRPr="00E54204">
        <w:rPr>
          <w:szCs w:val="20"/>
        </w:rPr>
        <w:t>”</w:t>
      </w:r>
      <w:r w:rsidRPr="00E54204">
        <w:rPr>
          <w:szCs w:val="20"/>
        </w:rPr>
        <w:t xml:space="preserve">  Eventually, R. Akiva is captured by the Roman authorities and is taken to be executed:</w:t>
      </w:r>
    </w:p>
    <w:p w14:paraId="3C47940B" w14:textId="77777777" w:rsidR="00ED18D8" w:rsidRPr="00E54204" w:rsidRDefault="00ED18D8" w:rsidP="00747BB6">
      <w:pPr>
        <w:spacing w:line="240" w:lineRule="auto"/>
        <w:rPr>
          <w:szCs w:val="20"/>
        </w:rPr>
      </w:pPr>
      <w:r w:rsidRPr="00E54204">
        <w:rPr>
          <w:szCs w:val="20"/>
        </w:rPr>
        <w:t>When R. Akiba was taken out for execution, it was the hour for the recital of the </w:t>
      </w:r>
      <w:r w:rsidR="001A304B" w:rsidRPr="00E54204">
        <w:rPr>
          <w:i/>
          <w:iCs/>
          <w:szCs w:val="20"/>
        </w:rPr>
        <w:t>Shema'</w:t>
      </w:r>
      <w:r w:rsidRPr="00E54204">
        <w:rPr>
          <w:szCs w:val="20"/>
        </w:rPr>
        <w:t>, and while they combed his flesh with iron combs, he was accepting upon himself the kingship of heaven.</w:t>
      </w:r>
      <w:r w:rsidRPr="00E54204">
        <w:rPr>
          <w:szCs w:val="20"/>
          <w:vertAlign w:val="superscript"/>
        </w:rPr>
        <w:footnoteReference w:id="340"/>
      </w:r>
      <w:r w:rsidRPr="00E54204">
        <w:rPr>
          <w:szCs w:val="20"/>
        </w:rPr>
        <w:t xml:space="preserve">  His disciples said to him: Our teacher, even to this point? He said to them: All my days I have been troubled by this verse, 'with all thy soul', [which I interpret,] 'even if He takes thy soul'. I said: When shall I have the opportunity of fulfilling this? Now that I have the opportunity shall I not fulfil it? He prolonged the word ehad</w:t>
      </w:r>
      <w:r w:rsidRPr="00E54204">
        <w:rPr>
          <w:szCs w:val="20"/>
          <w:vertAlign w:val="superscript"/>
        </w:rPr>
        <w:footnoteReference w:id="341"/>
      </w:r>
      <w:r w:rsidRPr="00E54204">
        <w:rPr>
          <w:szCs w:val="20"/>
        </w:rPr>
        <w:t xml:space="preserve"> until he expired while saying it. A </w:t>
      </w:r>
      <w:r w:rsidR="00E8302F" w:rsidRPr="00E54204">
        <w:rPr>
          <w:i/>
          <w:iCs/>
          <w:szCs w:val="20"/>
        </w:rPr>
        <w:t>bat</w:t>
      </w:r>
      <w:r w:rsidR="001A304B" w:rsidRPr="00E54204">
        <w:rPr>
          <w:i/>
          <w:iCs/>
          <w:szCs w:val="20"/>
        </w:rPr>
        <w:t>h kol</w:t>
      </w:r>
      <w:r w:rsidR="001A304B" w:rsidRPr="00E54204">
        <w:rPr>
          <w:iCs/>
          <w:szCs w:val="20"/>
        </w:rPr>
        <w:t xml:space="preserve"> </w:t>
      </w:r>
      <w:r w:rsidRPr="00E54204">
        <w:rPr>
          <w:szCs w:val="20"/>
        </w:rPr>
        <w:t>went forth and proclaimed: Happy art thou, Akiba that thy soul has departed with the word ehad! The ministering angels said before the Holy One, blessed be He: Such Torah, and such a reward? [He should have been] from them that die by Thy hand, O Lord.</w:t>
      </w:r>
      <w:r w:rsidRPr="00E54204">
        <w:rPr>
          <w:szCs w:val="20"/>
          <w:vertAlign w:val="superscript"/>
        </w:rPr>
        <w:footnoteReference w:id="342"/>
      </w:r>
      <w:r w:rsidRPr="00E54204">
        <w:rPr>
          <w:szCs w:val="20"/>
        </w:rPr>
        <w:t xml:space="preserve">  He replied to them: Their portion is in life.</w:t>
      </w:r>
      <w:r w:rsidRPr="00E54204">
        <w:rPr>
          <w:szCs w:val="20"/>
          <w:vertAlign w:val="superscript"/>
        </w:rPr>
        <w:footnoteReference w:id="343"/>
      </w:r>
      <w:r w:rsidRPr="00E54204">
        <w:rPr>
          <w:szCs w:val="20"/>
        </w:rPr>
        <w:t xml:space="preserve">  A </w:t>
      </w:r>
      <w:r w:rsidRPr="00E54204">
        <w:rPr>
          <w:i/>
          <w:iCs/>
          <w:szCs w:val="20"/>
        </w:rPr>
        <w:t>bath kol</w:t>
      </w:r>
      <w:r w:rsidRPr="00E54204">
        <w:rPr>
          <w:szCs w:val="20"/>
        </w:rPr>
        <w:t> went forth and proclaimed, Happy art thou, R. Akiba, that thou art destined for the life of the world to come.</w:t>
      </w:r>
      <w:r w:rsidRPr="00E54204">
        <w:rPr>
          <w:szCs w:val="20"/>
          <w:vertAlign w:val="superscript"/>
        </w:rPr>
        <w:footnoteReference w:id="344"/>
      </w:r>
    </w:p>
    <w:p w14:paraId="2107402A" w14:textId="77777777" w:rsidR="00747BB6" w:rsidRPr="00E54204" w:rsidRDefault="00747BB6" w:rsidP="00747BB6">
      <w:pPr>
        <w:spacing w:line="240" w:lineRule="auto"/>
        <w:rPr>
          <w:szCs w:val="20"/>
        </w:rPr>
      </w:pPr>
    </w:p>
    <w:p w14:paraId="2E3560C1" w14:textId="77777777" w:rsidR="00ED18D8" w:rsidRPr="00E54204" w:rsidRDefault="00ED18D8" w:rsidP="00747BB6">
      <w:pPr>
        <w:rPr>
          <w:szCs w:val="20"/>
        </w:rPr>
      </w:pPr>
      <w:r w:rsidRPr="00E54204">
        <w:rPr>
          <w:szCs w:val="20"/>
        </w:rPr>
        <w:t>R. Akiva is sometimes referred to as the proto-typical martyr of Judaism.</w:t>
      </w:r>
      <w:r w:rsidRPr="00E54204">
        <w:rPr>
          <w:szCs w:val="20"/>
          <w:vertAlign w:val="superscript"/>
        </w:rPr>
        <w:footnoteReference w:id="345"/>
      </w:r>
      <w:r w:rsidRPr="00E54204">
        <w:rPr>
          <w:szCs w:val="20"/>
        </w:rPr>
        <w:t xml:space="preserve">  R. Akiva’s zeal for Torah is not diminished even in suffering and impending death, and he upholds the </w:t>
      </w:r>
      <w:r w:rsidR="00EF69C7" w:rsidRPr="00E54204">
        <w:rPr>
          <w:i/>
          <w:szCs w:val="20"/>
        </w:rPr>
        <w:t>Halac</w:t>
      </w:r>
      <w:r w:rsidRPr="00E54204">
        <w:rPr>
          <w:i/>
          <w:szCs w:val="20"/>
        </w:rPr>
        <w:t>ha</w:t>
      </w:r>
      <w:r w:rsidRPr="00E54204">
        <w:rPr>
          <w:szCs w:val="20"/>
        </w:rPr>
        <w:t xml:space="preserve"> of reciting the </w:t>
      </w:r>
      <w:r w:rsidRPr="00E54204">
        <w:rPr>
          <w:i/>
          <w:szCs w:val="20"/>
        </w:rPr>
        <w:t xml:space="preserve">Sh’ma </w:t>
      </w:r>
      <w:r w:rsidRPr="00E54204">
        <w:rPr>
          <w:szCs w:val="20"/>
        </w:rPr>
        <w:t>at its appointed time, in spite of being flayed alive in the process.  In dramatic fashion, he is fulfilling the most important co</w:t>
      </w:r>
      <w:r w:rsidR="00DF3219" w:rsidRPr="00E54204">
        <w:rPr>
          <w:szCs w:val="20"/>
        </w:rPr>
        <w:t>mmandment both in word and deed,</w:t>
      </w:r>
      <w:r w:rsidRPr="00E54204">
        <w:rPr>
          <w:szCs w:val="20"/>
        </w:rPr>
        <w:t xml:space="preserve"> namely, pouring out his life in devotion to God, and consequently loving God with all of his “soul.”  The Hebrew verb (</w:t>
      </w:r>
      <w:r w:rsidRPr="00E54204">
        <w:rPr>
          <w:i/>
          <w:szCs w:val="20"/>
        </w:rPr>
        <w:t>yatzah</w:t>
      </w:r>
      <w:r w:rsidRPr="00E54204">
        <w:rPr>
          <w:szCs w:val="20"/>
        </w:rPr>
        <w:t xml:space="preserve">) is utilized to describe the departure of R. Akiva’s soul, and in the following line, is also used to describe the appearance of the </w:t>
      </w:r>
      <w:r w:rsidRPr="00E54204">
        <w:rPr>
          <w:i/>
          <w:szCs w:val="20"/>
        </w:rPr>
        <w:t>bat kol</w:t>
      </w:r>
      <w:r w:rsidRPr="00E54204">
        <w:rPr>
          <w:szCs w:val="20"/>
        </w:rPr>
        <w:t xml:space="preserve">.  It is as if R. Akiva’s ascent into eternity left room for the transmission of a heavenly dispatch.    </w:t>
      </w:r>
    </w:p>
    <w:p w14:paraId="50CD8941" w14:textId="77777777" w:rsidR="00ED18D8" w:rsidRPr="00E54204" w:rsidRDefault="00ED18D8" w:rsidP="006E723D">
      <w:pPr>
        <w:spacing w:after="160"/>
        <w:ind w:firstLine="720"/>
        <w:rPr>
          <w:szCs w:val="20"/>
        </w:rPr>
      </w:pPr>
      <w:r w:rsidRPr="00E54204">
        <w:rPr>
          <w:szCs w:val="20"/>
        </w:rPr>
        <w:t xml:space="preserve">Also, noteworthy is the </w:t>
      </w:r>
      <w:r w:rsidRPr="00E54204">
        <w:rPr>
          <w:i/>
          <w:szCs w:val="20"/>
        </w:rPr>
        <w:t>bat kol</w:t>
      </w:r>
      <w:r w:rsidRPr="00E54204">
        <w:rPr>
          <w:szCs w:val="20"/>
        </w:rPr>
        <w:t>’s commendation of R. Akiva’s final utterance of the word “e</w:t>
      </w:r>
      <w:r w:rsidR="00FC0EEE" w:rsidRPr="00E54204">
        <w:rPr>
          <w:szCs w:val="20"/>
        </w:rPr>
        <w:t>c</w:t>
      </w:r>
      <w:r w:rsidRPr="00E54204">
        <w:rPr>
          <w:szCs w:val="20"/>
        </w:rPr>
        <w:t>had,” though no explanatory remarks are provided.</w:t>
      </w:r>
      <w:r w:rsidRPr="00E54204">
        <w:rPr>
          <w:szCs w:val="20"/>
          <w:vertAlign w:val="superscript"/>
        </w:rPr>
        <w:footnoteReference w:id="346"/>
      </w:r>
      <w:r w:rsidRPr="00E54204">
        <w:rPr>
          <w:szCs w:val="20"/>
        </w:rPr>
        <w:t xml:space="preserve">  Literally the text could be translated, “which your soul went out in one.”  Beyond the value of uttering this key word in what is the most important prayer of all, this may also be hinting to something greater, namely, R. Akiva’s sole and unwavering devotion to God.  Interestingly enough, there are other Talmudic stories that record the last words of a dying person prior to the commentary of a </w:t>
      </w:r>
      <w:r w:rsidRPr="00E54204">
        <w:rPr>
          <w:i/>
          <w:szCs w:val="20"/>
        </w:rPr>
        <w:t>bat kol</w:t>
      </w:r>
      <w:r w:rsidRPr="00E54204">
        <w:rPr>
          <w:szCs w:val="20"/>
        </w:rPr>
        <w:t>.</w:t>
      </w:r>
      <w:r w:rsidRPr="00E54204">
        <w:rPr>
          <w:szCs w:val="20"/>
          <w:vertAlign w:val="superscript"/>
        </w:rPr>
        <w:footnoteReference w:id="347"/>
      </w:r>
      <w:r w:rsidRPr="00E54204">
        <w:rPr>
          <w:szCs w:val="20"/>
        </w:rPr>
        <w:t xml:space="preserve">  Indeed, we find this practice carried out in the Biblical text as well.</w:t>
      </w:r>
      <w:r w:rsidRPr="00E54204">
        <w:rPr>
          <w:szCs w:val="20"/>
          <w:vertAlign w:val="superscript"/>
        </w:rPr>
        <w:footnoteReference w:id="348"/>
      </w:r>
      <w:r w:rsidRPr="00E54204">
        <w:rPr>
          <w:szCs w:val="20"/>
        </w:rPr>
        <w:t xml:space="preserve">  Both for its theological significance and importance i</w:t>
      </w:r>
      <w:r w:rsidR="004A17ED" w:rsidRPr="00E54204">
        <w:rPr>
          <w:szCs w:val="20"/>
        </w:rPr>
        <w:t>n prayer, R. Akiva’s final word</w:t>
      </w:r>
      <w:r w:rsidRPr="00E54204">
        <w:rPr>
          <w:szCs w:val="20"/>
        </w:rPr>
        <w:t xml:space="preserve"> evoked praise from all, including, heaven itself.  The </w:t>
      </w:r>
      <w:r w:rsidR="00363960" w:rsidRPr="00E54204">
        <w:rPr>
          <w:i/>
          <w:szCs w:val="20"/>
        </w:rPr>
        <w:t>bat kol</w:t>
      </w:r>
      <w:r w:rsidR="00363960" w:rsidRPr="00E54204">
        <w:rPr>
          <w:szCs w:val="20"/>
        </w:rPr>
        <w:t>’s</w:t>
      </w:r>
      <w:r w:rsidRPr="00E54204">
        <w:rPr>
          <w:i/>
          <w:szCs w:val="20"/>
        </w:rPr>
        <w:t xml:space="preserve"> </w:t>
      </w:r>
      <w:r w:rsidRPr="00E54204">
        <w:rPr>
          <w:szCs w:val="20"/>
        </w:rPr>
        <w:t>praise of R. Akiva may be taken to be instructional in multiple facets.</w:t>
      </w:r>
    </w:p>
    <w:p w14:paraId="781764D7" w14:textId="77777777" w:rsidR="00ED18D8" w:rsidRPr="00E54204" w:rsidRDefault="00ED18D8" w:rsidP="00ED18D8">
      <w:pPr>
        <w:spacing w:after="160"/>
        <w:rPr>
          <w:szCs w:val="20"/>
        </w:rPr>
      </w:pPr>
      <w:r w:rsidRPr="00E54204">
        <w:rPr>
          <w:szCs w:val="20"/>
        </w:rPr>
        <w:tab/>
        <w:t xml:space="preserve">After a brief exchange between the ministering angels and God, God expresses that the lot of the righteous is actually in the world to come.  The </w:t>
      </w:r>
      <w:r w:rsidRPr="00E54204">
        <w:rPr>
          <w:i/>
          <w:szCs w:val="20"/>
        </w:rPr>
        <w:t xml:space="preserve">bat kol </w:t>
      </w:r>
      <w:r w:rsidRPr="00E54204">
        <w:rPr>
          <w:szCs w:val="20"/>
        </w:rPr>
        <w:t xml:space="preserve">then makes a second and surprising final appearance to close the story.  R. Akiva is said to be fortunate for he is ready for the life of the world to come.  This appears to be the statement which wraps up the entire story.  After R. Akiva’s striving to teach and practice Torah and enduring hardship for such, his efforts have ultimately landed him in the world to come; and thus he is fortunate.  This in short is the moral of </w:t>
      </w:r>
      <w:r w:rsidR="00605657" w:rsidRPr="00E54204">
        <w:rPr>
          <w:szCs w:val="20"/>
        </w:rPr>
        <w:t xml:space="preserve">the story: </w:t>
      </w:r>
      <w:r w:rsidRPr="00E54204">
        <w:rPr>
          <w:szCs w:val="20"/>
        </w:rPr>
        <w:t>one is made ready for th</w:t>
      </w:r>
      <w:r w:rsidR="001979E4" w:rsidRPr="00E54204">
        <w:rPr>
          <w:szCs w:val="20"/>
        </w:rPr>
        <w:t>e life in the “world to come” by giving up one’s life for</w:t>
      </w:r>
      <w:r w:rsidRPr="00E54204">
        <w:rPr>
          <w:szCs w:val="20"/>
        </w:rPr>
        <w:t xml:space="preserve"> God. </w:t>
      </w:r>
    </w:p>
    <w:p w14:paraId="34849154" w14:textId="77777777" w:rsidR="00ED18D8" w:rsidRPr="00E54204" w:rsidRDefault="00ED18D8" w:rsidP="00ED18D8">
      <w:pPr>
        <w:spacing w:after="160"/>
        <w:rPr>
          <w:szCs w:val="20"/>
        </w:rPr>
      </w:pPr>
      <w:r w:rsidRPr="00E54204">
        <w:rPr>
          <w:szCs w:val="20"/>
        </w:rPr>
        <w:tab/>
        <w:t xml:space="preserve">Both statements by the </w:t>
      </w:r>
      <w:r w:rsidRPr="00E54204">
        <w:rPr>
          <w:i/>
          <w:szCs w:val="20"/>
        </w:rPr>
        <w:t>bat kol</w:t>
      </w:r>
      <w:r w:rsidRPr="00E54204">
        <w:rPr>
          <w:szCs w:val="20"/>
        </w:rPr>
        <w:t xml:space="preserve"> p</w:t>
      </w:r>
      <w:r w:rsidR="009D41AD" w:rsidRPr="00E54204">
        <w:rPr>
          <w:szCs w:val="20"/>
        </w:rPr>
        <w:t>urport to be hidden information,</w:t>
      </w:r>
      <w:r w:rsidRPr="00E54204">
        <w:rPr>
          <w:szCs w:val="20"/>
        </w:rPr>
        <w:t xml:space="preserve"> revelatory remarks from heaven.  R. Akiva’s last words are viewed in this story</w:t>
      </w:r>
      <w:r w:rsidR="009D41AD" w:rsidRPr="00E54204">
        <w:rPr>
          <w:szCs w:val="20"/>
        </w:rPr>
        <w:t xml:space="preserve"> as </w:t>
      </w:r>
      <w:r w:rsidRPr="00E54204">
        <w:rPr>
          <w:szCs w:val="20"/>
        </w:rPr>
        <w:t xml:space="preserve">revealing the </w:t>
      </w:r>
      <w:r w:rsidR="009D41AD" w:rsidRPr="00E54204">
        <w:rPr>
          <w:szCs w:val="20"/>
        </w:rPr>
        <w:t xml:space="preserve">very </w:t>
      </w:r>
      <w:r w:rsidR="009F34DE" w:rsidRPr="00E54204">
        <w:rPr>
          <w:szCs w:val="20"/>
        </w:rPr>
        <w:t>depths of his person and</w:t>
      </w:r>
      <w:r w:rsidR="009D41AD" w:rsidRPr="00E54204">
        <w:rPr>
          <w:szCs w:val="20"/>
        </w:rPr>
        <w:t xml:space="preserve"> what he enunciates </w:t>
      </w:r>
      <w:r w:rsidRPr="00E54204">
        <w:rPr>
          <w:szCs w:val="20"/>
        </w:rPr>
        <w:t xml:space="preserve">is holy and praiseworthy.  The first statement appears to confirm R. Akiva’s </w:t>
      </w:r>
      <w:r w:rsidR="004B512C" w:rsidRPr="00E54204">
        <w:rPr>
          <w:i/>
          <w:szCs w:val="20"/>
        </w:rPr>
        <w:t>Halac</w:t>
      </w:r>
      <w:r w:rsidRPr="00E54204">
        <w:rPr>
          <w:i/>
          <w:szCs w:val="20"/>
        </w:rPr>
        <w:t>hic</w:t>
      </w:r>
      <w:r w:rsidRPr="00E54204">
        <w:rPr>
          <w:szCs w:val="20"/>
        </w:rPr>
        <w:t xml:space="preserve"> opinion that with “all of one’s soul” could imply even when one loses his soul, so to speak.  The second declaration ratifies or rather clarifies the statement previously spoken by God, namely that “their portion is in [eternal] life.”  The </w:t>
      </w:r>
      <w:r w:rsidRPr="00E54204">
        <w:rPr>
          <w:i/>
          <w:szCs w:val="20"/>
        </w:rPr>
        <w:t>bat kol</w:t>
      </w:r>
      <w:r w:rsidRPr="00E54204">
        <w:rPr>
          <w:szCs w:val="20"/>
        </w:rPr>
        <w:t xml:space="preserve"> explains the expected lot for the righteous is life in the world to come.  In short, R. Akiva serves as a model for what exemplary faithfulness and its final recompense look like.      </w:t>
      </w:r>
    </w:p>
    <w:p w14:paraId="5CC81BDB" w14:textId="77777777" w:rsidR="00ED18D8" w:rsidRPr="00E54204" w:rsidRDefault="00ED18D8" w:rsidP="00ED18D8">
      <w:pPr>
        <w:spacing w:after="160"/>
        <w:rPr>
          <w:szCs w:val="20"/>
        </w:rPr>
      </w:pPr>
      <w:r w:rsidRPr="00E54204">
        <w:rPr>
          <w:szCs w:val="20"/>
        </w:rPr>
        <w:tab/>
        <w:t xml:space="preserve">A similar story is recounted in tractate </w:t>
      </w:r>
      <w:r w:rsidRPr="00E54204">
        <w:rPr>
          <w:i/>
          <w:szCs w:val="20"/>
        </w:rPr>
        <w:t>Taanith</w:t>
      </w:r>
      <w:r w:rsidRPr="00E54204">
        <w:rPr>
          <w:szCs w:val="20"/>
        </w:rPr>
        <w:t xml:space="preserve"> 29a.</w:t>
      </w:r>
      <w:r w:rsidRPr="00E54204">
        <w:rPr>
          <w:szCs w:val="20"/>
          <w:vertAlign w:val="superscript"/>
        </w:rPr>
        <w:footnoteReference w:id="349"/>
      </w:r>
      <w:r w:rsidRPr="00E54204">
        <w:rPr>
          <w:szCs w:val="20"/>
        </w:rPr>
        <w:t xml:space="preserve">  Here again we are introduced to the story with the phrase </w:t>
      </w:r>
      <w:r w:rsidR="000617C9" w:rsidRPr="00E54204">
        <w:rPr>
          <w:szCs w:val="20"/>
        </w:rPr>
        <w:t>“</w:t>
      </w:r>
      <w:r w:rsidR="000617C9" w:rsidRPr="00E54204">
        <w:rPr>
          <w:i/>
          <w:szCs w:val="20"/>
        </w:rPr>
        <w:t>t</w:t>
      </w:r>
      <w:r w:rsidRPr="00E54204">
        <w:rPr>
          <w:i/>
          <w:szCs w:val="20"/>
        </w:rPr>
        <w:t>anna</w:t>
      </w:r>
      <w:r w:rsidRPr="00E54204">
        <w:rPr>
          <w:szCs w:val="20"/>
        </w:rPr>
        <w:t>,</w:t>
      </w:r>
      <w:r w:rsidR="000617C9" w:rsidRPr="00E54204">
        <w:rPr>
          <w:szCs w:val="20"/>
        </w:rPr>
        <w:t>”</w:t>
      </w:r>
      <w:r w:rsidRPr="00E54204">
        <w:rPr>
          <w:szCs w:val="20"/>
          <w:vertAlign w:val="superscript"/>
        </w:rPr>
        <w:footnoteReference w:id="350"/>
      </w:r>
      <w:r w:rsidRPr="00E54204">
        <w:rPr>
          <w:szCs w:val="20"/>
        </w:rPr>
        <w:t xml:space="preserve"> pointing the reader’s attention to a likely Palestinian provenance: “When the wicked Turnus Rufus destroyed the Sanctuary, a decree was placed upon Rabban Gamaliel for execution.”  This Turnus Rufus, is the same figure the Yerushalmi version depicts torturing and killing R. Akiva, though he goes unmentioned in the Bavli.  However, things apparently played out differently for R. Gamaliel.  A certain Roman officer sought out R. Gamaliel</w:t>
      </w:r>
      <w:r w:rsidRPr="00E54204">
        <w:rPr>
          <w:szCs w:val="20"/>
          <w:vertAlign w:val="superscript"/>
        </w:rPr>
        <w:footnoteReference w:id="351"/>
      </w:r>
      <w:r w:rsidRPr="00E54204">
        <w:rPr>
          <w:szCs w:val="20"/>
        </w:rPr>
        <w:t xml:space="preserve"> and eventually finds him in hiding.  </w:t>
      </w:r>
    </w:p>
    <w:p w14:paraId="03E18052" w14:textId="77777777" w:rsidR="006E723D" w:rsidRPr="00E54204" w:rsidRDefault="00ED18D8" w:rsidP="006E723D">
      <w:pPr>
        <w:spacing w:after="160"/>
        <w:ind w:firstLine="720"/>
        <w:rPr>
          <w:szCs w:val="20"/>
        </w:rPr>
      </w:pPr>
      <w:r w:rsidRPr="00E54204">
        <w:rPr>
          <w:szCs w:val="20"/>
        </w:rPr>
        <w:t xml:space="preserve">He </w:t>
      </w:r>
      <w:r w:rsidR="00DB6AC1" w:rsidRPr="00E54204">
        <w:rPr>
          <w:szCs w:val="20"/>
        </w:rPr>
        <w:t>makes a proposition to the sage:</w:t>
      </w:r>
      <w:r w:rsidRPr="00E54204">
        <w:rPr>
          <w:szCs w:val="20"/>
        </w:rPr>
        <w:t xml:space="preserve"> a life for a l</w:t>
      </w:r>
      <w:r w:rsidR="003F1CED" w:rsidRPr="00E54204">
        <w:rPr>
          <w:szCs w:val="20"/>
        </w:rPr>
        <w:t>ife.  If Rabbi Gamaliel can</w:t>
      </w:r>
      <w:r w:rsidRPr="00E54204">
        <w:rPr>
          <w:szCs w:val="20"/>
        </w:rPr>
        <w:t xml:space="preserve"> assure him life in the world to come</w:t>
      </w:r>
      <w:r w:rsidR="003F1CED" w:rsidRPr="00E54204">
        <w:rPr>
          <w:szCs w:val="20"/>
        </w:rPr>
        <w:t>, he would save his life.</w:t>
      </w:r>
      <w:r w:rsidRPr="00E54204">
        <w:rPr>
          <w:szCs w:val="20"/>
          <w:vertAlign w:val="superscript"/>
        </w:rPr>
        <w:footnoteReference w:id="352"/>
      </w:r>
      <w:r w:rsidRPr="00E54204">
        <w:rPr>
          <w:szCs w:val="20"/>
        </w:rPr>
        <w:t xml:space="preserve">  The rabbi agrees.  Once the sage confirms the agreement by swearing to him, the Roman officer goes up to a roof and then falls to his death, whereupon the </w:t>
      </w:r>
      <w:r w:rsidRPr="00E54204">
        <w:rPr>
          <w:i/>
          <w:szCs w:val="20"/>
        </w:rPr>
        <w:t>bat kol</w:t>
      </w:r>
      <w:r w:rsidRPr="00E54204">
        <w:rPr>
          <w:szCs w:val="20"/>
        </w:rPr>
        <w:t xml:space="preserve"> rang</w:t>
      </w:r>
      <w:r w:rsidR="003F1CED" w:rsidRPr="00E54204">
        <w:rPr>
          <w:szCs w:val="20"/>
        </w:rPr>
        <w:t xml:space="preserve"> forth declaring, “T</w:t>
      </w:r>
      <w:r w:rsidRPr="00E54204">
        <w:rPr>
          <w:szCs w:val="20"/>
        </w:rPr>
        <w:t>his officer is made ready for life in the world to come!”  Through his actions, the Roman officer has saved the life of R. Gamaliel.  The text then inserts a parenthesis; the Romans had a tradition that if they had made a decree and one of them die</w:t>
      </w:r>
      <w:r w:rsidR="00516C1C" w:rsidRPr="00E54204">
        <w:rPr>
          <w:szCs w:val="20"/>
        </w:rPr>
        <w:t>d</w:t>
      </w:r>
      <w:r w:rsidR="00A567F4" w:rsidRPr="00E54204">
        <w:rPr>
          <w:szCs w:val="20"/>
        </w:rPr>
        <w:t xml:space="preserve">, they would annul that decree which is then </w:t>
      </w:r>
      <w:r w:rsidRPr="00E54204">
        <w:rPr>
          <w:szCs w:val="20"/>
        </w:rPr>
        <w:t xml:space="preserve">followed by the announcement of the </w:t>
      </w:r>
      <w:r w:rsidRPr="00E54204">
        <w:rPr>
          <w:i/>
          <w:szCs w:val="20"/>
        </w:rPr>
        <w:t>bat kol</w:t>
      </w:r>
      <w:r w:rsidR="00A567F4" w:rsidRPr="00E54204">
        <w:rPr>
          <w:szCs w:val="20"/>
        </w:rPr>
        <w:t xml:space="preserve"> declaring that the Roman officer is made ready for life in the world to come.</w:t>
      </w:r>
      <w:r w:rsidR="00A567F4" w:rsidRPr="00E54204">
        <w:rPr>
          <w:rStyle w:val="FootnoteReference"/>
          <w:szCs w:val="20"/>
        </w:rPr>
        <w:footnoteReference w:id="353"/>
      </w:r>
    </w:p>
    <w:p w14:paraId="7D048282" w14:textId="77777777" w:rsidR="00ED18D8" w:rsidRPr="00E54204" w:rsidRDefault="00ED18D8" w:rsidP="006E723D">
      <w:pPr>
        <w:spacing w:after="160"/>
        <w:ind w:firstLine="720"/>
        <w:rPr>
          <w:szCs w:val="20"/>
        </w:rPr>
      </w:pPr>
      <w:r w:rsidRPr="00E54204">
        <w:rPr>
          <w:szCs w:val="20"/>
        </w:rPr>
        <w:t>The text then ends with another story that describes some young priests who jumped to their deaths when the First Temple was being destroyed, not after having first addressed heaven and throwing the keys of the Temple upwards, whereupon something like the form of a hand received them.  However, rather than a heavenly voice announcing their share in the world to come, verses from the book of Isaiah are quoted as if Isaiah spoke to them upon witnessing their fall.</w:t>
      </w:r>
      <w:r w:rsidRPr="00E54204">
        <w:rPr>
          <w:szCs w:val="20"/>
          <w:vertAlign w:val="superscript"/>
        </w:rPr>
        <w:footnoteReference w:id="354"/>
      </w:r>
    </w:p>
    <w:p w14:paraId="310FA253" w14:textId="77777777" w:rsidR="00ED18D8" w:rsidRPr="00E54204" w:rsidRDefault="00ED18D8" w:rsidP="00ED18D8">
      <w:pPr>
        <w:spacing w:after="160"/>
        <w:rPr>
          <w:szCs w:val="20"/>
        </w:rPr>
      </w:pPr>
      <w:r w:rsidRPr="00E54204">
        <w:rPr>
          <w:szCs w:val="20"/>
        </w:rPr>
        <w:tab/>
        <w:t>Once more we find the proclamation that “so-and-so” was made ready for life in the world to come, and both after someone willingly gave up their life.  The “voice” is essentially praising the act of the Roman officer, who negotiated with his own life in order to secure life after death.  Daniel Boyarin has noted, “There were both Jewish and Christian thinkers at the time who believed that martyrdom was ‘an atonement for sin committed in this or a previous life.’”</w:t>
      </w:r>
      <w:r w:rsidRPr="00E54204">
        <w:rPr>
          <w:szCs w:val="20"/>
          <w:vertAlign w:val="superscript"/>
        </w:rPr>
        <w:footnoteReference w:id="355"/>
      </w:r>
      <w:r w:rsidRPr="00E54204">
        <w:rPr>
          <w:szCs w:val="20"/>
        </w:rPr>
        <w:t xml:space="preserve">  This understanding could very well be undergirding these stories.  It seems that such noble actions warranted an immediate response from the heavenly courts, so that others may learn of its merit.  The willingness to sacrifice one’s life for the sake of heaven was met with the highest acceptance from God himself, and was apparently highly esteemed by the sages themselves.  </w:t>
      </w:r>
    </w:p>
    <w:p w14:paraId="3FD30F9C" w14:textId="77777777" w:rsidR="00ED18D8" w:rsidRPr="00E54204" w:rsidRDefault="00ED18D8" w:rsidP="006916E5">
      <w:pPr>
        <w:spacing w:after="160"/>
        <w:ind w:firstLine="720"/>
        <w:rPr>
          <w:szCs w:val="20"/>
        </w:rPr>
      </w:pPr>
      <w:r w:rsidRPr="00E54204">
        <w:rPr>
          <w:szCs w:val="20"/>
        </w:rPr>
        <w:t>We may begin to discern some overlapping details.  For example, the issue of persecution figures into several narratives.  The aftereffects of these bloody years, chiefly</w:t>
      </w:r>
      <w:r w:rsidR="00B0787E" w:rsidRPr="00E54204">
        <w:rPr>
          <w:szCs w:val="20"/>
        </w:rPr>
        <w:t xml:space="preserve"> during the rebellion of Bar Koc</w:t>
      </w:r>
      <w:r w:rsidRPr="00E54204">
        <w:rPr>
          <w:szCs w:val="20"/>
        </w:rPr>
        <w:t>hba in 132-135 CE, must have remained vivid in the collective memory of the sages for them</w:t>
      </w:r>
      <w:r w:rsidR="00B0787E" w:rsidRPr="00E54204">
        <w:rPr>
          <w:szCs w:val="20"/>
        </w:rPr>
        <w:t xml:space="preserve"> to transmit </w:t>
      </w:r>
      <w:r w:rsidRPr="00E54204">
        <w:rPr>
          <w:szCs w:val="20"/>
        </w:rPr>
        <w:t>these episodes.  Again, scholars have remarked how multilayered these rabbinic stories actually ar</w:t>
      </w:r>
      <w:r w:rsidR="00B0787E" w:rsidRPr="00E54204">
        <w:rPr>
          <w:szCs w:val="20"/>
        </w:rPr>
        <w:t xml:space="preserve">e, including a historical stratum.  </w:t>
      </w:r>
      <w:r w:rsidRPr="00E54204">
        <w:rPr>
          <w:szCs w:val="20"/>
        </w:rPr>
        <w:t>In a few cases, Romans are included in the world to come, such as in the story of R. Gamaliel.  The redactors of the Bavli may have felt the need to incorporate these s</w:t>
      </w:r>
      <w:r w:rsidR="00F13340" w:rsidRPr="00E54204">
        <w:rPr>
          <w:szCs w:val="20"/>
        </w:rPr>
        <w:t xml:space="preserve">tories </w:t>
      </w:r>
      <w:r w:rsidRPr="00E54204">
        <w:rPr>
          <w:szCs w:val="20"/>
        </w:rPr>
        <w:t>in order to portray some of these rabbis as heroic men, whose deaths were not in vain but even resulted in the eternal benefit o</w:t>
      </w:r>
      <w:r w:rsidR="009D1284" w:rsidRPr="00E54204">
        <w:rPr>
          <w:szCs w:val="20"/>
        </w:rPr>
        <w:t>f others in some special cases.</w:t>
      </w:r>
      <w:r w:rsidR="009D1284" w:rsidRPr="00E54204">
        <w:rPr>
          <w:rStyle w:val="FootnoteReference"/>
          <w:szCs w:val="20"/>
        </w:rPr>
        <w:footnoteReference w:id="356"/>
      </w:r>
      <w:r w:rsidRPr="00E54204">
        <w:rPr>
          <w:szCs w:val="20"/>
        </w:rPr>
        <w:t xml:space="preserve"> </w:t>
      </w:r>
    </w:p>
    <w:p w14:paraId="1F0ABC20" w14:textId="77777777" w:rsidR="00DA678C" w:rsidRPr="00E54204" w:rsidRDefault="00ED18D8" w:rsidP="00DA678C">
      <w:pPr>
        <w:spacing w:after="160"/>
        <w:ind w:firstLine="720"/>
        <w:rPr>
          <w:szCs w:val="20"/>
        </w:rPr>
      </w:pPr>
      <w:r w:rsidRPr="00E54204">
        <w:rPr>
          <w:szCs w:val="20"/>
        </w:rPr>
        <w:t>Overall, this section ha</w:t>
      </w:r>
      <w:r w:rsidR="004135DF" w:rsidRPr="00E54204">
        <w:rPr>
          <w:szCs w:val="20"/>
        </w:rPr>
        <w:t>s presented a sample of cases</w:t>
      </w:r>
      <w:r w:rsidRPr="00E54204">
        <w:rPr>
          <w:szCs w:val="20"/>
        </w:rPr>
        <w:t xml:space="preserve"> of the </w:t>
      </w:r>
      <w:r w:rsidRPr="00E54204">
        <w:rPr>
          <w:i/>
          <w:szCs w:val="20"/>
        </w:rPr>
        <w:t>bat kol</w:t>
      </w:r>
      <w:r w:rsidR="004135DF" w:rsidRPr="00E54204">
        <w:rPr>
          <w:szCs w:val="20"/>
        </w:rPr>
        <w:t xml:space="preserve"> appearing</w:t>
      </w:r>
      <w:r w:rsidRPr="00E54204">
        <w:rPr>
          <w:szCs w:val="20"/>
        </w:rPr>
        <w:t xml:space="preserve"> at the</w:t>
      </w:r>
      <w:r w:rsidR="004135DF" w:rsidRPr="00E54204">
        <w:rPr>
          <w:szCs w:val="20"/>
        </w:rPr>
        <w:t xml:space="preserve"> time of death for various figures, including the prominent</w:t>
      </w:r>
      <w:r w:rsidRPr="00E54204">
        <w:rPr>
          <w:szCs w:val="20"/>
        </w:rPr>
        <w:t xml:space="preserve"> R. Akiva.  Each story records the </w:t>
      </w:r>
      <w:r w:rsidR="004135DF" w:rsidRPr="00E54204">
        <w:rPr>
          <w:szCs w:val="20"/>
        </w:rPr>
        <w:t>virtuous actions of individuals and</w:t>
      </w:r>
      <w:r w:rsidRPr="00E54204">
        <w:rPr>
          <w:szCs w:val="20"/>
        </w:rPr>
        <w:t xml:space="preserve"> characteristics like humility, love, and sorrow and repentance which ultimately result in their losing their physical life but gaining an eternal l</w:t>
      </w:r>
      <w:r w:rsidR="00087B58" w:rsidRPr="00E54204">
        <w:rPr>
          <w:szCs w:val="20"/>
        </w:rPr>
        <w:t>ife so to speak.  Only three</w:t>
      </w:r>
      <w:r w:rsidRPr="00E54204">
        <w:rPr>
          <w:szCs w:val="20"/>
        </w:rPr>
        <w:t xml:space="preserve"> stories</w:t>
      </w:r>
      <w:r w:rsidR="00D872A1" w:rsidRPr="00E54204">
        <w:rPr>
          <w:szCs w:val="20"/>
        </w:rPr>
        <w:t xml:space="preserve"> in this category</w:t>
      </w:r>
      <w:r w:rsidR="00087B58" w:rsidRPr="00E54204">
        <w:rPr>
          <w:szCs w:val="20"/>
        </w:rPr>
        <w:t xml:space="preserve"> recount a </w:t>
      </w:r>
      <w:r w:rsidR="00087B58" w:rsidRPr="00E54204">
        <w:rPr>
          <w:i/>
          <w:szCs w:val="20"/>
        </w:rPr>
        <w:t>bat kol</w:t>
      </w:r>
      <w:r w:rsidR="00D872A1" w:rsidRPr="00E54204">
        <w:rPr>
          <w:szCs w:val="20"/>
        </w:rPr>
        <w:t xml:space="preserve"> without someone dying</w:t>
      </w:r>
      <w:r w:rsidRPr="00E54204">
        <w:rPr>
          <w:szCs w:val="20"/>
        </w:rPr>
        <w:t>.</w:t>
      </w:r>
      <w:r w:rsidRPr="00E54204">
        <w:rPr>
          <w:szCs w:val="20"/>
          <w:vertAlign w:val="superscript"/>
        </w:rPr>
        <w:footnoteReference w:id="357"/>
      </w:r>
      <w:r w:rsidRPr="00E54204">
        <w:rPr>
          <w:szCs w:val="20"/>
        </w:rPr>
        <w:t xml:space="preserve">  As pre</w:t>
      </w:r>
      <w:r w:rsidR="00273127" w:rsidRPr="00E54204">
        <w:rPr>
          <w:szCs w:val="20"/>
        </w:rPr>
        <w:t xml:space="preserve">viously noted, the </w:t>
      </w:r>
      <w:r w:rsidR="00273127" w:rsidRPr="00E54204">
        <w:rPr>
          <w:i/>
          <w:szCs w:val="20"/>
        </w:rPr>
        <w:t>bat kol’s</w:t>
      </w:r>
      <w:r w:rsidR="00273127" w:rsidRPr="00E54204">
        <w:rPr>
          <w:szCs w:val="20"/>
        </w:rPr>
        <w:t xml:space="preserve"> announcing</w:t>
      </w:r>
      <w:r w:rsidRPr="00E54204">
        <w:rPr>
          <w:szCs w:val="20"/>
        </w:rPr>
        <w:t xml:space="preserve"> of</w:t>
      </w:r>
      <w:r w:rsidR="00273127" w:rsidRPr="00E54204">
        <w:rPr>
          <w:szCs w:val="20"/>
        </w:rPr>
        <w:t xml:space="preserve"> a person or people earning a place</w:t>
      </w:r>
      <w:r w:rsidRPr="00E54204">
        <w:rPr>
          <w:szCs w:val="20"/>
        </w:rPr>
        <w:t xml:space="preserve"> in the </w:t>
      </w:r>
      <w:r w:rsidR="00273127" w:rsidRPr="00E54204">
        <w:rPr>
          <w:szCs w:val="20"/>
        </w:rPr>
        <w:t>“</w:t>
      </w:r>
      <w:r w:rsidRPr="00E54204">
        <w:rPr>
          <w:szCs w:val="20"/>
        </w:rPr>
        <w:t>world to come</w:t>
      </w:r>
      <w:r w:rsidR="00273127" w:rsidRPr="00E54204">
        <w:rPr>
          <w:szCs w:val="20"/>
        </w:rPr>
        <w:t>” in all of the stories reviewed in th</w:t>
      </w:r>
      <w:r w:rsidR="00605657" w:rsidRPr="00E54204">
        <w:rPr>
          <w:szCs w:val="20"/>
        </w:rPr>
        <w:t>is section and listed in table 2</w:t>
      </w:r>
      <w:r w:rsidR="00273127" w:rsidRPr="00E54204">
        <w:rPr>
          <w:szCs w:val="20"/>
        </w:rPr>
        <w:t>,</w:t>
      </w:r>
      <w:r w:rsidRPr="00E54204">
        <w:rPr>
          <w:szCs w:val="20"/>
        </w:rPr>
        <w:t xml:space="preserve"> could be reduced to a two-fold function: highlighting God’s role as ultimate judge and underscoring the impact that individuals have on their own eternal destiny.  It seems these were the </w:t>
      </w:r>
      <w:r w:rsidR="00193CC9" w:rsidRPr="00E54204">
        <w:rPr>
          <w:szCs w:val="20"/>
        </w:rPr>
        <w:t xml:space="preserve">chief goals in </w:t>
      </w:r>
      <w:r w:rsidR="00DA678C" w:rsidRPr="00E54204">
        <w:rPr>
          <w:szCs w:val="20"/>
        </w:rPr>
        <w:t xml:space="preserve">telling these stories.  </w:t>
      </w:r>
    </w:p>
    <w:p w14:paraId="79DFD30A" w14:textId="77777777" w:rsidR="00ED18D8" w:rsidRPr="00E54204" w:rsidRDefault="00E31B4F" w:rsidP="00DA678C">
      <w:pPr>
        <w:spacing w:after="160"/>
        <w:rPr>
          <w:szCs w:val="20"/>
        </w:rPr>
      </w:pPr>
      <w:r w:rsidRPr="00E54204">
        <w:rPr>
          <w:b/>
          <w:szCs w:val="20"/>
        </w:rPr>
        <w:t>III.</w:t>
      </w:r>
      <w:r w:rsidRPr="00E54204">
        <w:rPr>
          <w:b/>
          <w:szCs w:val="20"/>
        </w:rPr>
        <w:tab/>
      </w:r>
      <w:r w:rsidR="002F77CD" w:rsidRPr="00E54204">
        <w:rPr>
          <w:b/>
          <w:szCs w:val="20"/>
        </w:rPr>
        <w:t xml:space="preserve">Praise </w:t>
      </w:r>
      <w:r w:rsidR="00DA678C" w:rsidRPr="00E54204">
        <w:rPr>
          <w:b/>
          <w:szCs w:val="20"/>
        </w:rPr>
        <w:t>Toward</w:t>
      </w:r>
      <w:r w:rsidR="00F134C4" w:rsidRPr="00E54204">
        <w:rPr>
          <w:b/>
          <w:szCs w:val="20"/>
        </w:rPr>
        <w:t xml:space="preserve"> Individuals</w:t>
      </w:r>
    </w:p>
    <w:p w14:paraId="1AB02869" w14:textId="77777777" w:rsidR="008B1353" w:rsidRPr="00E54204" w:rsidRDefault="00ED18D8" w:rsidP="00ED18D8">
      <w:pPr>
        <w:spacing w:after="160"/>
        <w:rPr>
          <w:szCs w:val="20"/>
        </w:rPr>
      </w:pPr>
      <w:r w:rsidRPr="00E54204">
        <w:rPr>
          <w:szCs w:val="20"/>
        </w:rPr>
        <w:tab/>
        <w:t>Cert</w:t>
      </w:r>
      <w:r w:rsidR="00273127" w:rsidRPr="00E54204">
        <w:rPr>
          <w:szCs w:val="20"/>
        </w:rPr>
        <w:t>ain individuals were sing</w:t>
      </w:r>
      <w:r w:rsidRPr="00E54204">
        <w:rPr>
          <w:szCs w:val="20"/>
        </w:rPr>
        <w:t xml:space="preserve">led out for more than just declarations of their share in the world to come.  The </w:t>
      </w:r>
      <w:r w:rsidRPr="00E54204">
        <w:rPr>
          <w:i/>
          <w:szCs w:val="20"/>
        </w:rPr>
        <w:t>bat kol</w:t>
      </w:r>
      <w:r w:rsidRPr="00E54204">
        <w:rPr>
          <w:szCs w:val="20"/>
        </w:rPr>
        <w:t xml:space="preserve"> praises various Biblical and rabbinical characters for their virtue and piety such as Moses, Hillel, R. Eliezer, and Samuel the Small.  This treatment of some Biblical and non-Biblical characters accords with the </w:t>
      </w:r>
      <w:r w:rsidR="00776F85" w:rsidRPr="00E54204">
        <w:rPr>
          <w:szCs w:val="20"/>
        </w:rPr>
        <w:t>observed tendency of employing M</w:t>
      </w:r>
      <w:r w:rsidRPr="00E54204">
        <w:rPr>
          <w:szCs w:val="20"/>
        </w:rPr>
        <w:t>idrash in order to praise the worthy deeds of the righteous as far as possible.  Correspondingly, the rabbis ascribe to certain malevolent fig</w:t>
      </w:r>
      <w:r w:rsidR="008B1353" w:rsidRPr="00E54204">
        <w:rPr>
          <w:szCs w:val="20"/>
        </w:rPr>
        <w:t>ures additional heinous actions</w:t>
      </w:r>
      <w:r w:rsidRPr="00E54204">
        <w:rPr>
          <w:szCs w:val="20"/>
          <w:vertAlign w:val="superscript"/>
        </w:rPr>
        <w:footnoteReference w:id="358"/>
      </w:r>
      <w:r w:rsidR="008B1353" w:rsidRPr="00E54204">
        <w:rPr>
          <w:szCs w:val="20"/>
        </w:rPr>
        <w:t xml:space="preserve"> which consequently, sometimes, becomes the subject </w:t>
      </w:r>
      <w:r w:rsidRPr="00E54204">
        <w:rPr>
          <w:szCs w:val="20"/>
        </w:rPr>
        <w:t>f</w:t>
      </w:r>
      <w:r w:rsidR="008B1353" w:rsidRPr="00E54204">
        <w:rPr>
          <w:szCs w:val="20"/>
        </w:rPr>
        <w:t>or words of</w:t>
      </w:r>
      <w:r w:rsidRPr="00E54204">
        <w:rPr>
          <w:szCs w:val="20"/>
        </w:rPr>
        <w:t xml:space="preserve"> rebuke and or judgment.  Regularly the merit of these individuals is announced for all to hear, even on a daily basis at times.  We also find cases where the </w:t>
      </w:r>
      <w:r w:rsidRPr="00E54204">
        <w:rPr>
          <w:i/>
          <w:szCs w:val="20"/>
        </w:rPr>
        <w:t xml:space="preserve">bat kol </w:t>
      </w:r>
      <w:r w:rsidRPr="00E54204">
        <w:rPr>
          <w:szCs w:val="20"/>
        </w:rPr>
        <w:t>endorses an individual for a certain honor or defends the reputat</w:t>
      </w:r>
      <w:r w:rsidR="008B1353" w:rsidRPr="00E54204">
        <w:rPr>
          <w:szCs w:val="20"/>
        </w:rPr>
        <w:t xml:space="preserve">ion of a sage so as to dispel </w:t>
      </w:r>
      <w:r w:rsidRPr="00E54204">
        <w:rPr>
          <w:szCs w:val="20"/>
        </w:rPr>
        <w:t>any misconceptions over such a pe</w:t>
      </w:r>
      <w:r w:rsidR="008B1353" w:rsidRPr="00E54204">
        <w:rPr>
          <w:szCs w:val="20"/>
        </w:rPr>
        <w:t xml:space="preserve">rson.  </w:t>
      </w:r>
    </w:p>
    <w:p w14:paraId="730B0EB2" w14:textId="77777777" w:rsidR="00ED18D8" w:rsidRPr="00E54204" w:rsidRDefault="008B1353" w:rsidP="008B1353">
      <w:pPr>
        <w:spacing w:after="160"/>
        <w:ind w:firstLine="720"/>
        <w:rPr>
          <w:szCs w:val="20"/>
        </w:rPr>
      </w:pPr>
      <w:r w:rsidRPr="00E54204">
        <w:rPr>
          <w:szCs w:val="20"/>
        </w:rPr>
        <w:t>Generally speaking, t</w:t>
      </w:r>
      <w:r w:rsidR="00ED18D8" w:rsidRPr="00E54204">
        <w:rPr>
          <w:szCs w:val="20"/>
        </w:rPr>
        <w:t xml:space="preserve">he </w:t>
      </w:r>
      <w:r w:rsidR="00ED18D8" w:rsidRPr="00E54204">
        <w:rPr>
          <w:i/>
          <w:szCs w:val="20"/>
        </w:rPr>
        <w:t xml:space="preserve">bat kol </w:t>
      </w:r>
      <w:r w:rsidRPr="00E54204">
        <w:rPr>
          <w:szCs w:val="20"/>
        </w:rPr>
        <w:t>is timeless</w:t>
      </w:r>
      <w:r w:rsidR="00ED18D8" w:rsidRPr="00E54204">
        <w:rPr>
          <w:szCs w:val="20"/>
        </w:rPr>
        <w:t>; it is recorded at times as echoing in the Biblical period, during times of Moses and the Patriarchs, and during the time of the sages prior and during the writing of the Babylonian T</w:t>
      </w:r>
      <w:r w:rsidRPr="00E54204">
        <w:rPr>
          <w:szCs w:val="20"/>
        </w:rPr>
        <w:t xml:space="preserve">almud.  </w:t>
      </w:r>
      <w:r w:rsidR="00362D4B" w:rsidRPr="00E54204">
        <w:rPr>
          <w:szCs w:val="20"/>
        </w:rPr>
        <w:t>I have catalogued thir</w:t>
      </w:r>
      <w:r w:rsidRPr="00E54204">
        <w:rPr>
          <w:szCs w:val="20"/>
        </w:rPr>
        <w:t>teen</w:t>
      </w:r>
      <w:r w:rsidR="00ED18D8" w:rsidRPr="00E54204">
        <w:rPr>
          <w:szCs w:val="20"/>
        </w:rPr>
        <w:t xml:space="preserve"> storie</w:t>
      </w:r>
      <w:r w:rsidRPr="00E54204">
        <w:rPr>
          <w:szCs w:val="20"/>
        </w:rPr>
        <w:t>s that fall within this category</w:t>
      </w:r>
      <w:r w:rsidR="00ED18D8" w:rsidRPr="00E54204">
        <w:rPr>
          <w:szCs w:val="20"/>
        </w:rPr>
        <w:t>,</w:t>
      </w:r>
      <w:r w:rsidRPr="00E54204">
        <w:rPr>
          <w:szCs w:val="20"/>
        </w:rPr>
        <w:t xml:space="preserve"> not including four repeated stories</w:t>
      </w:r>
      <w:r w:rsidR="00B27810" w:rsidRPr="00E54204">
        <w:rPr>
          <w:szCs w:val="20"/>
        </w:rPr>
        <w:t>, such as the s</w:t>
      </w:r>
      <w:r w:rsidRPr="00E54204">
        <w:rPr>
          <w:szCs w:val="20"/>
        </w:rPr>
        <w:t xml:space="preserve">tory that depicts a </w:t>
      </w:r>
      <w:r w:rsidRPr="00E54204">
        <w:rPr>
          <w:i/>
          <w:szCs w:val="20"/>
        </w:rPr>
        <w:t xml:space="preserve">bat kol </w:t>
      </w:r>
      <w:r w:rsidRPr="00E54204">
        <w:rPr>
          <w:szCs w:val="20"/>
        </w:rPr>
        <w:t>praising R. Hanina ben Dosa</w:t>
      </w:r>
      <w:r w:rsidR="00B27810" w:rsidRPr="00E54204">
        <w:rPr>
          <w:szCs w:val="20"/>
        </w:rPr>
        <w:t>; an</w:t>
      </w:r>
      <w:r w:rsidR="00ED18D8" w:rsidRPr="00E54204">
        <w:rPr>
          <w:szCs w:val="20"/>
        </w:rPr>
        <w:t xml:space="preserve"> itinerant miracle worker known for his asceticism.</w:t>
      </w:r>
      <w:r w:rsidR="00ED18D8" w:rsidRPr="00E54204">
        <w:rPr>
          <w:szCs w:val="20"/>
          <w:vertAlign w:val="superscript"/>
        </w:rPr>
        <w:footnoteReference w:id="359"/>
      </w:r>
      <w:r w:rsidR="00ED18D8" w:rsidRPr="00E54204">
        <w:rPr>
          <w:szCs w:val="20"/>
        </w:rPr>
        <w:t xml:space="preserve">  Thus, Byron Sherwin noted that R. Hanina ben Dosa is presented in typical Bavli fashion as a wonder-worker who derived his theurgic abilities from the knowledge of Torah.</w:t>
      </w:r>
      <w:r w:rsidR="00ED18D8" w:rsidRPr="00E54204">
        <w:rPr>
          <w:szCs w:val="20"/>
          <w:vertAlign w:val="superscript"/>
        </w:rPr>
        <w:footnoteReference w:id="360"/>
      </w:r>
      <w:r w:rsidR="00ED18D8" w:rsidRPr="00E54204">
        <w:rPr>
          <w:szCs w:val="20"/>
        </w:rPr>
        <w:t xml:space="preserve">  This depiction may be interpreted as an approach that sought to reconcile the f</w:t>
      </w:r>
      <w:r w:rsidR="007338F9" w:rsidRPr="00E54204">
        <w:rPr>
          <w:szCs w:val="20"/>
        </w:rPr>
        <w:t>igure of the charismatic healer</w:t>
      </w:r>
      <w:r w:rsidR="00CA6FF1" w:rsidRPr="00E54204">
        <w:rPr>
          <w:szCs w:val="20"/>
        </w:rPr>
        <w:t xml:space="preserve">, who </w:t>
      </w:r>
      <w:r w:rsidR="007338F9" w:rsidRPr="00E54204">
        <w:rPr>
          <w:szCs w:val="20"/>
        </w:rPr>
        <w:t>may have been uncomfortably similar to controversial figures such as Jesus of Nazareth, for example,</w:t>
      </w:r>
      <w:r w:rsidR="00ED18D8" w:rsidRPr="00E54204">
        <w:rPr>
          <w:szCs w:val="20"/>
        </w:rPr>
        <w:t xml:space="preserve"> with</w:t>
      </w:r>
      <w:r w:rsidR="007338F9" w:rsidRPr="00E54204">
        <w:rPr>
          <w:szCs w:val="20"/>
        </w:rPr>
        <w:t xml:space="preserve"> that of the nascent rabbi/sage,</w:t>
      </w:r>
      <w:r w:rsidR="00ED18D8" w:rsidRPr="00E54204">
        <w:rPr>
          <w:szCs w:val="20"/>
        </w:rPr>
        <w:t xml:space="preserve"> the latter espousing heavenly and earthly authority.</w:t>
      </w:r>
      <w:r w:rsidR="007338F9" w:rsidRPr="00E54204">
        <w:rPr>
          <w:szCs w:val="20"/>
        </w:rPr>
        <w:t xml:space="preserve">  That is to say the ability for the rabbis both to heal and to teach the revelation of Torah as given to Moses and handed down to the sages of Israel.</w:t>
      </w:r>
      <w:r w:rsidR="00ED18D8" w:rsidRPr="00E54204">
        <w:rPr>
          <w:szCs w:val="20"/>
        </w:rPr>
        <w:t xml:space="preserve"> </w:t>
      </w:r>
    </w:p>
    <w:p w14:paraId="0A3FB89B" w14:textId="77777777" w:rsidR="00ED18D8" w:rsidRPr="00E54204" w:rsidRDefault="00ED18D8" w:rsidP="009800A2">
      <w:pPr>
        <w:rPr>
          <w:szCs w:val="20"/>
        </w:rPr>
      </w:pPr>
      <w:r w:rsidRPr="00E54204">
        <w:rPr>
          <w:szCs w:val="20"/>
        </w:rPr>
        <w:tab/>
        <w:t xml:space="preserve">In tractate </w:t>
      </w:r>
      <w:r w:rsidRPr="00E54204">
        <w:rPr>
          <w:i/>
          <w:szCs w:val="20"/>
        </w:rPr>
        <w:t xml:space="preserve">Sotah </w:t>
      </w:r>
      <w:r w:rsidRPr="00E54204">
        <w:rPr>
          <w:szCs w:val="20"/>
        </w:rPr>
        <w:t>48b,</w:t>
      </w:r>
      <w:r w:rsidRPr="00E54204">
        <w:rPr>
          <w:szCs w:val="20"/>
          <w:vertAlign w:val="superscript"/>
        </w:rPr>
        <w:footnoteReference w:id="361"/>
      </w:r>
      <w:r w:rsidRPr="00E54204">
        <w:rPr>
          <w:szCs w:val="20"/>
        </w:rPr>
        <w:t xml:space="preserve"> we are afforded a glimpse into another function of the </w:t>
      </w:r>
      <w:r w:rsidRPr="00E54204">
        <w:rPr>
          <w:i/>
          <w:szCs w:val="20"/>
        </w:rPr>
        <w:t>bat kol</w:t>
      </w:r>
      <w:r w:rsidR="004F4043" w:rsidRPr="00E54204">
        <w:rPr>
          <w:szCs w:val="20"/>
        </w:rPr>
        <w:t xml:space="preserve"> when it expresses </w:t>
      </w:r>
      <w:r w:rsidR="0036541A" w:rsidRPr="00E54204">
        <w:rPr>
          <w:szCs w:val="20"/>
        </w:rPr>
        <w:t>the worth</w:t>
      </w:r>
      <w:r w:rsidR="007C1852" w:rsidRPr="00E54204">
        <w:rPr>
          <w:szCs w:val="20"/>
        </w:rPr>
        <w:t>iness of an individual</w:t>
      </w:r>
      <w:r w:rsidR="004F4043" w:rsidRPr="00E54204">
        <w:rPr>
          <w:szCs w:val="20"/>
        </w:rPr>
        <w:t xml:space="preserve"> to have the </w:t>
      </w:r>
      <w:r w:rsidR="004F4043" w:rsidRPr="00E54204">
        <w:rPr>
          <w:i/>
          <w:szCs w:val="20"/>
        </w:rPr>
        <w:t>Shechinah</w:t>
      </w:r>
      <w:r w:rsidR="0036541A" w:rsidRPr="00E54204">
        <w:rPr>
          <w:szCs w:val="20"/>
        </w:rPr>
        <w:t xml:space="preserve"> dwell upon him.</w:t>
      </w:r>
      <w:r w:rsidRPr="00E54204">
        <w:rPr>
          <w:szCs w:val="20"/>
        </w:rPr>
        <w:t xml:space="preserve">  The passage begins by discussing the significance of when the former prophets died (i.e., David, Sa</w:t>
      </w:r>
      <w:r w:rsidR="00B934FD" w:rsidRPr="00E54204">
        <w:rPr>
          <w:szCs w:val="20"/>
        </w:rPr>
        <w:t>muel, and Solomon)</w:t>
      </w:r>
      <w:r w:rsidR="00831537" w:rsidRPr="00E54204">
        <w:rPr>
          <w:szCs w:val="20"/>
        </w:rPr>
        <w:t>.  T</w:t>
      </w:r>
      <w:r w:rsidR="00606598" w:rsidRPr="00E54204">
        <w:rPr>
          <w:szCs w:val="20"/>
        </w:rPr>
        <w:t>he</w:t>
      </w:r>
      <w:r w:rsidR="00AC7AE2" w:rsidRPr="00E54204">
        <w:rPr>
          <w:szCs w:val="20"/>
        </w:rPr>
        <w:t>ir</w:t>
      </w:r>
      <w:r w:rsidR="00606598" w:rsidRPr="00E54204">
        <w:rPr>
          <w:szCs w:val="20"/>
        </w:rPr>
        <w:t xml:space="preserve"> de</w:t>
      </w:r>
      <w:r w:rsidR="00AC7AE2" w:rsidRPr="00E54204">
        <w:rPr>
          <w:szCs w:val="20"/>
        </w:rPr>
        <w:t>aths</w:t>
      </w:r>
      <w:r w:rsidR="00831537" w:rsidRPr="00E54204">
        <w:rPr>
          <w:szCs w:val="20"/>
        </w:rPr>
        <w:t>, allegedly, marked the end of the use of the</w:t>
      </w:r>
      <w:r w:rsidR="00AC7AE2" w:rsidRPr="00E54204">
        <w:rPr>
          <w:szCs w:val="20"/>
        </w:rPr>
        <w:t xml:space="preserve"> </w:t>
      </w:r>
      <w:r w:rsidR="00AC7AE2" w:rsidRPr="00E54204">
        <w:rPr>
          <w:i/>
          <w:szCs w:val="20"/>
        </w:rPr>
        <w:t>Urim</w:t>
      </w:r>
      <w:r w:rsidR="00AC7AE2" w:rsidRPr="00E54204">
        <w:rPr>
          <w:szCs w:val="20"/>
        </w:rPr>
        <w:t xml:space="preserve"> and </w:t>
      </w:r>
      <w:r w:rsidR="00AC7AE2" w:rsidRPr="00E54204">
        <w:rPr>
          <w:i/>
          <w:szCs w:val="20"/>
        </w:rPr>
        <w:t>Thummim</w:t>
      </w:r>
      <w:r w:rsidR="00AC7AE2" w:rsidRPr="00E54204">
        <w:rPr>
          <w:szCs w:val="20"/>
        </w:rPr>
        <w:t>.</w:t>
      </w:r>
      <w:r w:rsidRPr="00E54204">
        <w:rPr>
          <w:szCs w:val="20"/>
          <w:vertAlign w:val="superscript"/>
        </w:rPr>
        <w:footnoteReference w:id="362"/>
      </w:r>
      <w:r w:rsidR="00831537" w:rsidRPr="00E54204">
        <w:rPr>
          <w:szCs w:val="20"/>
        </w:rPr>
        <w:t xml:space="preserve">  Moreover, the text reads </w:t>
      </w:r>
      <w:r w:rsidRPr="00E54204">
        <w:rPr>
          <w:szCs w:val="20"/>
        </w:rPr>
        <w:t>that with the destruction of th</w:t>
      </w:r>
      <w:r w:rsidR="005F513D" w:rsidRPr="00E54204">
        <w:rPr>
          <w:szCs w:val="20"/>
        </w:rPr>
        <w:t>e First T</w:t>
      </w:r>
      <w:r w:rsidRPr="00E54204">
        <w:rPr>
          <w:szCs w:val="20"/>
        </w:rPr>
        <w:t>empl</w:t>
      </w:r>
      <w:r w:rsidR="00831537" w:rsidRPr="00E54204">
        <w:rPr>
          <w:szCs w:val="20"/>
        </w:rPr>
        <w:t>e</w:t>
      </w:r>
      <w:r w:rsidRPr="00E54204">
        <w:rPr>
          <w:szCs w:val="20"/>
        </w:rPr>
        <w:t xml:space="preserve"> the </w:t>
      </w:r>
      <w:r w:rsidRPr="00E54204">
        <w:rPr>
          <w:i/>
          <w:szCs w:val="20"/>
        </w:rPr>
        <w:t>Urim</w:t>
      </w:r>
      <w:r w:rsidRPr="00E54204">
        <w:rPr>
          <w:szCs w:val="20"/>
        </w:rPr>
        <w:t xml:space="preserve"> and </w:t>
      </w:r>
      <w:r w:rsidRPr="00E54204">
        <w:rPr>
          <w:i/>
          <w:szCs w:val="20"/>
        </w:rPr>
        <w:t>Thumim</w:t>
      </w:r>
      <w:r w:rsidRPr="00E54204">
        <w:rPr>
          <w:szCs w:val="20"/>
        </w:rPr>
        <w:t xml:space="preserve"> ceased</w:t>
      </w:r>
      <w:r w:rsidR="007C1852" w:rsidRPr="00E54204">
        <w:rPr>
          <w:szCs w:val="20"/>
        </w:rPr>
        <w:t xml:space="preserve">.  </w:t>
      </w:r>
      <w:r w:rsidRPr="00E54204">
        <w:rPr>
          <w:szCs w:val="20"/>
        </w:rPr>
        <w:t>The passage then quo</w:t>
      </w:r>
      <w:r w:rsidR="0024731C" w:rsidRPr="00E54204">
        <w:rPr>
          <w:szCs w:val="20"/>
        </w:rPr>
        <w:t>tes the</w:t>
      </w:r>
      <w:r w:rsidR="00831537" w:rsidRPr="00E54204">
        <w:rPr>
          <w:szCs w:val="20"/>
        </w:rPr>
        <w:t xml:space="preserve"> oft repeated rabbinic saying</w:t>
      </w:r>
      <w:r w:rsidRPr="00E54204">
        <w:rPr>
          <w:szCs w:val="20"/>
        </w:rPr>
        <w:t>: “When Haggai, Zechariah, and Malachi died the Holy Spirit departed from Israel;</w:t>
      </w:r>
      <w:r w:rsidR="00E16808" w:rsidRPr="00E54204">
        <w:rPr>
          <w:szCs w:val="20"/>
        </w:rPr>
        <w:t xml:space="preserve"> </w:t>
      </w:r>
      <w:r w:rsidRPr="00E54204">
        <w:rPr>
          <w:szCs w:val="20"/>
        </w:rPr>
        <w:t xml:space="preserve">nevertheless they made use of the </w:t>
      </w:r>
      <w:r w:rsidRPr="00E54204">
        <w:rPr>
          <w:i/>
          <w:szCs w:val="20"/>
        </w:rPr>
        <w:t>bat kol</w:t>
      </w:r>
      <w:r w:rsidRPr="00E54204">
        <w:rPr>
          <w:szCs w:val="20"/>
        </w:rPr>
        <w:t>.”</w:t>
      </w:r>
      <w:r w:rsidRPr="00E54204">
        <w:rPr>
          <w:szCs w:val="20"/>
          <w:vertAlign w:val="superscript"/>
        </w:rPr>
        <w:footnoteReference w:id="363"/>
      </w:r>
      <w:r w:rsidRPr="00E54204">
        <w:rPr>
          <w:szCs w:val="20"/>
        </w:rPr>
        <w:t xml:space="preserve">  The passage goes on to narrate how on two separate occasions this sign was given to the sages:</w:t>
      </w:r>
    </w:p>
    <w:p w14:paraId="4999C230" w14:textId="77777777" w:rsidR="00ED18D8" w:rsidRPr="00E54204" w:rsidRDefault="00ED18D8" w:rsidP="009800A2">
      <w:pPr>
        <w:spacing w:line="240" w:lineRule="auto"/>
        <w:rPr>
          <w:szCs w:val="20"/>
        </w:rPr>
      </w:pPr>
      <w:r w:rsidRPr="00E54204">
        <w:rPr>
          <w:szCs w:val="20"/>
        </w:rPr>
        <w:t>A </w:t>
      </w:r>
      <w:r w:rsidRPr="00E54204">
        <w:rPr>
          <w:i/>
          <w:iCs/>
          <w:szCs w:val="20"/>
        </w:rPr>
        <w:t>Bat Kol</w:t>
      </w:r>
      <w:r w:rsidRPr="00E54204">
        <w:rPr>
          <w:szCs w:val="20"/>
        </w:rPr>
        <w:t> was granted to them from heaven which announced, 'There is in your midst one man who is deserving that the </w:t>
      </w:r>
      <w:r w:rsidR="004F4043" w:rsidRPr="00E54204">
        <w:rPr>
          <w:i/>
          <w:iCs/>
          <w:szCs w:val="20"/>
        </w:rPr>
        <w:t>S</w:t>
      </w:r>
      <w:r w:rsidRPr="00E54204">
        <w:rPr>
          <w:i/>
          <w:iCs/>
          <w:szCs w:val="20"/>
        </w:rPr>
        <w:t>hechinah</w:t>
      </w:r>
      <w:r w:rsidRPr="00E54204">
        <w:rPr>
          <w:szCs w:val="20"/>
        </w:rPr>
        <w:t> should alight upon him, but his generation is unworthy of it'. They all looked at Hillel the elder; and when he died, they lamented over him, 'Alas, the pious man! Alas, the humble man! Disciple of Ezra!' On another occasion they were sitting in an upper chamber in Jabneh;</w:t>
      </w:r>
      <w:r w:rsidRPr="00E54204">
        <w:rPr>
          <w:szCs w:val="20"/>
          <w:vertAlign w:val="superscript"/>
        </w:rPr>
        <w:footnoteReference w:id="364"/>
      </w:r>
      <w:r w:rsidRPr="00E54204">
        <w:rPr>
          <w:szCs w:val="20"/>
        </w:rPr>
        <w:t xml:space="preserve"> a </w:t>
      </w:r>
      <w:r w:rsidRPr="00E54204">
        <w:rPr>
          <w:i/>
          <w:iCs/>
          <w:szCs w:val="20"/>
        </w:rPr>
        <w:t>Bath Kol</w:t>
      </w:r>
      <w:r w:rsidRPr="00E54204">
        <w:rPr>
          <w:szCs w:val="20"/>
        </w:rPr>
        <w:t xml:space="preserve"> was granted to them from heaven which announced, 'There is in your midst one man who is deserving that the </w:t>
      </w:r>
      <w:r w:rsidR="004F4043" w:rsidRPr="00E54204">
        <w:rPr>
          <w:i/>
          <w:iCs/>
          <w:szCs w:val="20"/>
        </w:rPr>
        <w:t>S</w:t>
      </w:r>
      <w:r w:rsidRPr="00E54204">
        <w:rPr>
          <w:i/>
          <w:iCs/>
          <w:szCs w:val="20"/>
        </w:rPr>
        <w:t>hechinah</w:t>
      </w:r>
      <w:r w:rsidRPr="00E54204">
        <w:rPr>
          <w:szCs w:val="20"/>
        </w:rPr>
        <w:t> should alight upon him, but his generation is unworthy of it'. They all looked at Samuel the Little;</w:t>
      </w:r>
      <w:r w:rsidRPr="00E54204">
        <w:rPr>
          <w:szCs w:val="20"/>
          <w:vertAlign w:val="superscript"/>
        </w:rPr>
        <w:footnoteReference w:id="365"/>
      </w:r>
      <w:r w:rsidRPr="00E54204">
        <w:rPr>
          <w:szCs w:val="20"/>
        </w:rPr>
        <w:t> and when he died, they lamented over him, 'Alas, the humble man! Alas, the pious man! Disciple of Hillel!' At the time of his death he also said, 'Simeon and Ishmael [are destined] for the sword and their colleagues for death, and the rest of the people for spoliation, and great distress will come upon the nation.' They also wished to lament over R. Judah b. Baba,</w:t>
      </w:r>
      <w:r w:rsidRPr="00E54204">
        <w:rPr>
          <w:szCs w:val="20"/>
          <w:vertAlign w:val="superscript"/>
        </w:rPr>
        <w:footnoteReference w:id="366"/>
      </w:r>
      <w:r w:rsidRPr="00E54204">
        <w:rPr>
          <w:szCs w:val="20"/>
        </w:rPr>
        <w:t xml:space="preserve"> 'Alas, the pious man! Alas, the humble man!' But the times were disturbed and they could not lament publicly over those who had been slain by the government.</w:t>
      </w:r>
      <w:r w:rsidRPr="00E54204">
        <w:rPr>
          <w:szCs w:val="20"/>
          <w:vertAlign w:val="superscript"/>
        </w:rPr>
        <w:footnoteReference w:id="367"/>
      </w:r>
    </w:p>
    <w:p w14:paraId="2ABB87E7" w14:textId="77777777" w:rsidR="009800A2" w:rsidRPr="00E54204" w:rsidRDefault="009800A2" w:rsidP="009800A2">
      <w:pPr>
        <w:spacing w:line="240" w:lineRule="auto"/>
        <w:rPr>
          <w:szCs w:val="20"/>
        </w:rPr>
      </w:pPr>
    </w:p>
    <w:p w14:paraId="775961EF" w14:textId="77777777" w:rsidR="00ED18D8" w:rsidRPr="00E54204" w:rsidRDefault="00ED18D8" w:rsidP="009800A2">
      <w:pPr>
        <w:rPr>
          <w:szCs w:val="20"/>
        </w:rPr>
      </w:pPr>
      <w:r w:rsidRPr="00E54204">
        <w:rPr>
          <w:szCs w:val="20"/>
        </w:rPr>
        <w:tab/>
      </w:r>
      <w:r w:rsidR="007C1852" w:rsidRPr="00E54204">
        <w:rPr>
          <w:szCs w:val="20"/>
        </w:rPr>
        <w:t xml:space="preserve">Despite the Temple being in ruins, a supernatural sign similar to the </w:t>
      </w:r>
      <w:r w:rsidR="007C1852" w:rsidRPr="00E54204">
        <w:rPr>
          <w:i/>
          <w:szCs w:val="20"/>
        </w:rPr>
        <w:t xml:space="preserve">Urim </w:t>
      </w:r>
      <w:r w:rsidR="007C1852" w:rsidRPr="00E54204">
        <w:rPr>
          <w:szCs w:val="20"/>
        </w:rPr>
        <w:t xml:space="preserve">and </w:t>
      </w:r>
      <w:r w:rsidR="007C1852" w:rsidRPr="00E54204">
        <w:rPr>
          <w:i/>
          <w:szCs w:val="20"/>
        </w:rPr>
        <w:t>Thummim</w:t>
      </w:r>
      <w:r w:rsidR="007C1852" w:rsidRPr="00E54204">
        <w:rPr>
          <w:szCs w:val="20"/>
        </w:rPr>
        <w:t xml:space="preserve">, is given to the sages.  </w:t>
      </w:r>
      <w:r w:rsidRPr="00E54204">
        <w:rPr>
          <w:szCs w:val="20"/>
        </w:rPr>
        <w:t>The first pe</w:t>
      </w:r>
      <w:r w:rsidR="007C1852" w:rsidRPr="00E54204">
        <w:rPr>
          <w:szCs w:val="20"/>
        </w:rPr>
        <w:t>rson to be sing</w:t>
      </w:r>
      <w:r w:rsidRPr="00E54204">
        <w:rPr>
          <w:szCs w:val="20"/>
        </w:rPr>
        <w:t>led out is Hillel the elder</w:t>
      </w:r>
      <w:r w:rsidRPr="00E54204">
        <w:rPr>
          <w:szCs w:val="20"/>
          <w:vertAlign w:val="superscript"/>
        </w:rPr>
        <w:footnoteReference w:id="368"/>
      </w:r>
      <w:r w:rsidRPr="00E54204">
        <w:rPr>
          <w:szCs w:val="20"/>
        </w:rPr>
        <w:t>.  No description of his char</w:t>
      </w:r>
      <w:r w:rsidR="00160805" w:rsidRPr="00E54204">
        <w:rPr>
          <w:szCs w:val="20"/>
        </w:rPr>
        <w:t xml:space="preserve">acter or acts is made available. </w:t>
      </w:r>
      <w:r w:rsidR="00D401B1" w:rsidRPr="00E54204">
        <w:rPr>
          <w:szCs w:val="20"/>
        </w:rPr>
        <w:t xml:space="preserve"> He is </w:t>
      </w:r>
      <w:r w:rsidR="00160805" w:rsidRPr="00E54204">
        <w:rPr>
          <w:szCs w:val="20"/>
        </w:rPr>
        <w:t>identified</w:t>
      </w:r>
      <w:r w:rsidRPr="00E54204">
        <w:rPr>
          <w:szCs w:val="20"/>
        </w:rPr>
        <w:t xml:space="preserve"> as someone worthy to receive that God’s abiding presence</w:t>
      </w:r>
      <w:r w:rsidR="000E1A54" w:rsidRPr="00E54204">
        <w:rPr>
          <w:szCs w:val="20"/>
        </w:rPr>
        <w:t xml:space="preserve"> (</w:t>
      </w:r>
      <w:r w:rsidR="000E1A54" w:rsidRPr="00E54204">
        <w:rPr>
          <w:i/>
          <w:szCs w:val="20"/>
        </w:rPr>
        <w:t>Shechinah</w:t>
      </w:r>
      <w:r w:rsidR="000E1A54" w:rsidRPr="00E54204">
        <w:rPr>
          <w:szCs w:val="20"/>
        </w:rPr>
        <w:t>)</w:t>
      </w:r>
      <w:r w:rsidRPr="00E54204">
        <w:rPr>
          <w:szCs w:val="20"/>
        </w:rPr>
        <w:t xml:space="preserve"> </w:t>
      </w:r>
      <w:r w:rsidR="00D401B1" w:rsidRPr="00E54204">
        <w:rPr>
          <w:szCs w:val="20"/>
        </w:rPr>
        <w:t xml:space="preserve">should </w:t>
      </w:r>
      <w:r w:rsidRPr="00E54204">
        <w:rPr>
          <w:szCs w:val="20"/>
        </w:rPr>
        <w:t>dwell upon him.  Hillel established a school (“house”) which operated from ca. 30 BCE to 20 CE.  He was known for his great kindness and gentleness towards all.</w:t>
      </w:r>
      <w:r w:rsidRPr="00E54204">
        <w:rPr>
          <w:szCs w:val="20"/>
          <w:vertAlign w:val="superscript"/>
        </w:rPr>
        <w:footnoteReference w:id="369"/>
      </w:r>
      <w:r w:rsidRPr="00E54204">
        <w:rPr>
          <w:szCs w:val="20"/>
        </w:rPr>
        <w:t xml:space="preserve">  His legal rulings were often pitted against the rulings of Shammai (the rival school at the time) but Hillel’s</w:t>
      </w:r>
      <w:r w:rsidR="002C0DB3" w:rsidRPr="00E54204">
        <w:rPr>
          <w:szCs w:val="20"/>
        </w:rPr>
        <w:t xml:space="preserve"> views won out an overwhelming majority of the time, constituting the rulings upon which </w:t>
      </w:r>
      <w:r w:rsidR="00A057B2" w:rsidRPr="00E54204">
        <w:rPr>
          <w:szCs w:val="20"/>
        </w:rPr>
        <w:t>Jewish L</w:t>
      </w:r>
      <w:r w:rsidRPr="00E54204">
        <w:rPr>
          <w:szCs w:val="20"/>
        </w:rPr>
        <w:t xml:space="preserve">aw </w:t>
      </w:r>
      <w:r w:rsidR="002C0DB3" w:rsidRPr="00E54204">
        <w:rPr>
          <w:szCs w:val="20"/>
        </w:rPr>
        <w:t>was</w:t>
      </w:r>
      <w:r w:rsidRPr="00E54204">
        <w:rPr>
          <w:szCs w:val="20"/>
        </w:rPr>
        <w:t xml:space="preserve"> based.</w:t>
      </w:r>
      <w:r w:rsidRPr="00E54204">
        <w:rPr>
          <w:szCs w:val="20"/>
          <w:vertAlign w:val="superscript"/>
        </w:rPr>
        <w:footnoteReference w:id="370"/>
      </w:r>
      <w:r w:rsidRPr="00E54204">
        <w:rPr>
          <w:szCs w:val="20"/>
        </w:rPr>
        <w:t xml:space="preserve">  He was from Babylon but moved to Jerusalem to study without any financial support; he supported himself by working as a woodcutter.  </w:t>
      </w:r>
    </w:p>
    <w:p w14:paraId="3B0F16CB" w14:textId="77777777" w:rsidR="00ED18D8" w:rsidRPr="00E54204" w:rsidRDefault="00ED18D8" w:rsidP="00ED18D8">
      <w:pPr>
        <w:spacing w:after="160"/>
        <w:rPr>
          <w:szCs w:val="20"/>
        </w:rPr>
      </w:pPr>
      <w:r w:rsidRPr="00E54204">
        <w:rPr>
          <w:szCs w:val="20"/>
        </w:rPr>
        <w:tab/>
        <w:t>Samuel was given the epithet “small” due to his grea</w:t>
      </w:r>
      <w:r w:rsidR="009800A2" w:rsidRPr="00E54204">
        <w:rPr>
          <w:szCs w:val="20"/>
        </w:rPr>
        <w:t>t modesty, since at least in on</w:t>
      </w:r>
      <w:r w:rsidRPr="00E54204">
        <w:rPr>
          <w:szCs w:val="20"/>
        </w:rPr>
        <w:t>e occasion he was willing to take on embarrassment in place of another.</w:t>
      </w:r>
      <w:r w:rsidRPr="00E54204">
        <w:rPr>
          <w:szCs w:val="20"/>
          <w:vertAlign w:val="superscript"/>
        </w:rPr>
        <w:footnoteReference w:id="371"/>
      </w:r>
      <w:r w:rsidRPr="00E54204">
        <w:rPr>
          <w:szCs w:val="20"/>
        </w:rPr>
        <w:t xml:space="preserve">  He wa</w:t>
      </w:r>
      <w:r w:rsidR="00624691" w:rsidRPr="00E54204">
        <w:rPr>
          <w:szCs w:val="20"/>
        </w:rPr>
        <w:t>s a disciple of R. Gamaliel II</w:t>
      </w:r>
      <w:r w:rsidRPr="00E54204">
        <w:rPr>
          <w:szCs w:val="20"/>
        </w:rPr>
        <w:t>, who was the leader of the rabbinic court while centralized at Yavneh.  Interestingly enough, the Mishnah, the earliest rabbinic work dating ca.200 CE, contains a description of a person considered to be worthy of the indwelling of the Divine Spirit:  “Zeal brings man into a state of cleanliness, cleanliness advances man to purity, purity leads a man to self-control, self-control to holiness, holiness to humility, humility to fear of sin, fear of sin to Godliness, God</w:t>
      </w:r>
      <w:r w:rsidR="000A6666" w:rsidRPr="00E54204">
        <w:rPr>
          <w:szCs w:val="20"/>
        </w:rPr>
        <w:t xml:space="preserve">liness makes man worthy of the </w:t>
      </w:r>
      <w:r w:rsidR="00D554EB" w:rsidRPr="00E54204">
        <w:rPr>
          <w:i/>
          <w:szCs w:val="20"/>
        </w:rPr>
        <w:t>Ruach h</w:t>
      </w:r>
      <w:r w:rsidRPr="00E54204">
        <w:rPr>
          <w:i/>
          <w:szCs w:val="20"/>
        </w:rPr>
        <w:t>a</w:t>
      </w:r>
      <w:r w:rsidR="000A6666" w:rsidRPr="00E54204">
        <w:rPr>
          <w:i/>
          <w:szCs w:val="20"/>
        </w:rPr>
        <w:t>-</w:t>
      </w:r>
      <w:r w:rsidR="00D554EB" w:rsidRPr="00E54204">
        <w:rPr>
          <w:i/>
          <w:szCs w:val="20"/>
        </w:rPr>
        <w:t>K</w:t>
      </w:r>
      <w:r w:rsidRPr="00E54204">
        <w:rPr>
          <w:i/>
          <w:szCs w:val="20"/>
        </w:rPr>
        <w:t>odesh</w:t>
      </w:r>
      <w:r w:rsidRPr="00E54204">
        <w:rPr>
          <w:szCs w:val="20"/>
        </w:rPr>
        <w:t xml:space="preserve"> [Holy Spirit]…”</w:t>
      </w:r>
      <w:r w:rsidRPr="00E54204">
        <w:rPr>
          <w:szCs w:val="20"/>
          <w:vertAlign w:val="superscript"/>
        </w:rPr>
        <w:footnoteReference w:id="372"/>
      </w:r>
      <w:r w:rsidRPr="00E54204">
        <w:rPr>
          <w:szCs w:val="20"/>
        </w:rPr>
        <w:t xml:space="preserve">  We can then infer, in line with the abovementioned understanding, that Samuel’s humility was perhaps one trait among others which he embodied.</w:t>
      </w:r>
    </w:p>
    <w:p w14:paraId="4CEA4515" w14:textId="77777777" w:rsidR="00ED18D8" w:rsidRPr="00E54204" w:rsidRDefault="00ED18D8" w:rsidP="006916E5">
      <w:pPr>
        <w:spacing w:after="160"/>
        <w:ind w:firstLine="720"/>
        <w:rPr>
          <w:szCs w:val="20"/>
        </w:rPr>
      </w:pPr>
      <w:r w:rsidRPr="00E54204">
        <w:rPr>
          <w:szCs w:val="20"/>
        </w:rPr>
        <w:t>This story narrates the public endorsement of two pious sa</w:t>
      </w:r>
      <w:r w:rsidR="0019575F" w:rsidRPr="00E54204">
        <w:rPr>
          <w:szCs w:val="20"/>
        </w:rPr>
        <w:t>ges</w:t>
      </w:r>
      <w:r w:rsidR="00D401B1" w:rsidRPr="00E54204">
        <w:rPr>
          <w:szCs w:val="20"/>
        </w:rPr>
        <w:t xml:space="preserve"> (Hillel the Elder and Samuel the Small)</w:t>
      </w:r>
      <w:r w:rsidR="0019575F" w:rsidRPr="00E54204">
        <w:rPr>
          <w:szCs w:val="20"/>
        </w:rPr>
        <w:t xml:space="preserve"> to have God’s abiding presence </w:t>
      </w:r>
      <w:r w:rsidRPr="00E54204">
        <w:rPr>
          <w:szCs w:val="20"/>
        </w:rPr>
        <w:t>rest on them, yet becaus</w:t>
      </w:r>
      <w:r w:rsidR="005B1043" w:rsidRPr="00E54204">
        <w:rPr>
          <w:szCs w:val="20"/>
        </w:rPr>
        <w:t>e of their</w:t>
      </w:r>
      <w:r w:rsidR="0019575F" w:rsidRPr="00E54204">
        <w:rPr>
          <w:szCs w:val="20"/>
        </w:rPr>
        <w:t xml:space="preserve"> generation the miracle of God’s presence dwelling </w:t>
      </w:r>
      <w:r w:rsidR="005B1043" w:rsidRPr="00E54204">
        <w:rPr>
          <w:szCs w:val="20"/>
        </w:rPr>
        <w:t xml:space="preserve">over Hillel the Elder and Samuel the Small did </w:t>
      </w:r>
      <w:r w:rsidRPr="00E54204">
        <w:rPr>
          <w:szCs w:val="20"/>
        </w:rPr>
        <w:t>not occur.</w:t>
      </w:r>
      <w:r w:rsidRPr="00E54204">
        <w:rPr>
          <w:szCs w:val="20"/>
          <w:vertAlign w:val="superscript"/>
        </w:rPr>
        <w:footnoteReference w:id="373"/>
      </w:r>
      <w:r w:rsidR="005B1043" w:rsidRPr="00E54204">
        <w:rPr>
          <w:szCs w:val="20"/>
        </w:rPr>
        <w:t xml:space="preserve">  </w:t>
      </w:r>
      <w:r w:rsidRPr="00E54204">
        <w:rPr>
          <w:szCs w:val="20"/>
        </w:rPr>
        <w:t xml:space="preserve">A version found in the earlier work of the </w:t>
      </w:r>
      <w:r w:rsidRPr="00E54204">
        <w:rPr>
          <w:i/>
          <w:szCs w:val="20"/>
        </w:rPr>
        <w:t>Tosefta</w:t>
      </w:r>
      <w:r w:rsidRPr="00E54204">
        <w:rPr>
          <w:szCs w:val="20"/>
        </w:rPr>
        <w:t xml:space="preserve"> actually has the word “Holy Spirit” (</w:t>
      </w:r>
      <w:r w:rsidR="00D554EB" w:rsidRPr="00E54204">
        <w:rPr>
          <w:i/>
          <w:szCs w:val="20"/>
        </w:rPr>
        <w:t>Ruach h</w:t>
      </w:r>
      <w:r w:rsidRPr="00E54204">
        <w:rPr>
          <w:i/>
          <w:szCs w:val="20"/>
        </w:rPr>
        <w:t>a</w:t>
      </w:r>
      <w:r w:rsidR="000A6666" w:rsidRPr="00E54204">
        <w:rPr>
          <w:i/>
          <w:szCs w:val="20"/>
        </w:rPr>
        <w:t>-</w:t>
      </w:r>
      <w:r w:rsidR="00D554EB" w:rsidRPr="00E54204">
        <w:rPr>
          <w:i/>
          <w:szCs w:val="20"/>
        </w:rPr>
        <w:t>K</w:t>
      </w:r>
      <w:r w:rsidRPr="00E54204">
        <w:rPr>
          <w:i/>
          <w:szCs w:val="20"/>
        </w:rPr>
        <w:t>odesh</w:t>
      </w:r>
      <w:r w:rsidRPr="00E54204">
        <w:rPr>
          <w:szCs w:val="20"/>
        </w:rPr>
        <w:t xml:space="preserve">) instead of </w:t>
      </w:r>
      <w:r w:rsidR="00D554EB" w:rsidRPr="00E54204">
        <w:rPr>
          <w:i/>
          <w:szCs w:val="20"/>
        </w:rPr>
        <w:t>S</w:t>
      </w:r>
      <w:r w:rsidRPr="00E54204">
        <w:rPr>
          <w:i/>
          <w:szCs w:val="20"/>
        </w:rPr>
        <w:t>hechinah</w:t>
      </w:r>
      <w:r w:rsidRPr="00E54204">
        <w:rPr>
          <w:szCs w:val="20"/>
        </w:rPr>
        <w:t>.</w:t>
      </w:r>
      <w:r w:rsidRPr="00E54204">
        <w:rPr>
          <w:szCs w:val="20"/>
          <w:vertAlign w:val="superscript"/>
        </w:rPr>
        <w:footnoteReference w:id="374"/>
      </w:r>
      <w:r w:rsidRPr="00E54204">
        <w:rPr>
          <w:szCs w:val="20"/>
        </w:rPr>
        <w:t xml:space="preserve">  The term “Holy Spirit,” was for the rabbis, synonymous with prophecy, hence the </w:t>
      </w:r>
      <w:r w:rsidRPr="00E54204">
        <w:rPr>
          <w:i/>
          <w:szCs w:val="20"/>
        </w:rPr>
        <w:t>Tosefta</w:t>
      </w:r>
      <w:r w:rsidRPr="00E54204">
        <w:rPr>
          <w:i/>
          <w:szCs w:val="20"/>
          <w:vertAlign w:val="superscript"/>
        </w:rPr>
        <w:footnoteReference w:id="375"/>
      </w:r>
      <w:r w:rsidRPr="00E54204">
        <w:rPr>
          <w:i/>
          <w:szCs w:val="20"/>
        </w:rPr>
        <w:t xml:space="preserve"> </w:t>
      </w:r>
      <w:r w:rsidRPr="00E54204">
        <w:rPr>
          <w:szCs w:val="20"/>
        </w:rPr>
        <w:t>narrative is impressing that these two men were worthy to receive the Spirit just like the Biblical prophets of old.</w:t>
      </w:r>
      <w:r w:rsidRPr="00E54204">
        <w:rPr>
          <w:szCs w:val="20"/>
          <w:vertAlign w:val="superscript"/>
        </w:rPr>
        <w:footnoteReference w:id="376"/>
      </w:r>
      <w:r w:rsidR="007A0370" w:rsidRPr="00E54204">
        <w:rPr>
          <w:szCs w:val="20"/>
        </w:rPr>
        <w:t xml:space="preserve">  Therefore, despite the rabbinic claim that Biblical prophecy had ceased, the rabbis show that there were still degrees of prophetic activity taking place in their midst.  </w:t>
      </w:r>
      <w:r w:rsidRPr="00E54204">
        <w:rPr>
          <w:szCs w:val="20"/>
        </w:rPr>
        <w:t>Surely with the Temple in ruin</w:t>
      </w:r>
      <w:r w:rsidR="007A0370" w:rsidRPr="00E54204">
        <w:rPr>
          <w:szCs w:val="20"/>
        </w:rPr>
        <w:t>,</w:t>
      </w:r>
      <w:r w:rsidRPr="00E54204">
        <w:rPr>
          <w:szCs w:val="20"/>
        </w:rPr>
        <w:t xml:space="preserve"> God’s abiding presence</w:t>
      </w:r>
      <w:r w:rsidR="007A0370" w:rsidRPr="00E54204">
        <w:rPr>
          <w:szCs w:val="20"/>
        </w:rPr>
        <w:t>, was believed by the rabbis t</w:t>
      </w:r>
      <w:r w:rsidRPr="00E54204">
        <w:rPr>
          <w:szCs w:val="20"/>
        </w:rPr>
        <w:t>o</w:t>
      </w:r>
      <w:r w:rsidR="007A0370" w:rsidRPr="00E54204">
        <w:rPr>
          <w:szCs w:val="20"/>
        </w:rPr>
        <w:t xml:space="preserve"> no</w:t>
      </w:r>
      <w:r w:rsidRPr="00E54204">
        <w:rPr>
          <w:szCs w:val="20"/>
        </w:rPr>
        <w:t xml:space="preserve"> longer be found in such quarters </w:t>
      </w:r>
      <w:r w:rsidR="007A0370" w:rsidRPr="00E54204">
        <w:rPr>
          <w:szCs w:val="20"/>
        </w:rPr>
        <w:t xml:space="preserve">nor </w:t>
      </w:r>
      <w:r w:rsidRPr="00E54204">
        <w:rPr>
          <w:szCs w:val="20"/>
        </w:rPr>
        <w:t>among men (prophets).</w:t>
      </w:r>
      <w:r w:rsidRPr="00E54204">
        <w:rPr>
          <w:szCs w:val="20"/>
          <w:vertAlign w:val="superscript"/>
        </w:rPr>
        <w:footnoteReference w:id="377"/>
      </w:r>
      <w:r w:rsidRPr="00E54204">
        <w:rPr>
          <w:szCs w:val="20"/>
        </w:rPr>
        <w:t xml:space="preserve">  </w:t>
      </w:r>
    </w:p>
    <w:p w14:paraId="52692094" w14:textId="77777777" w:rsidR="00DA678C" w:rsidRPr="00E54204" w:rsidRDefault="00DA678C" w:rsidP="00ED18D8">
      <w:pPr>
        <w:spacing w:after="160"/>
        <w:rPr>
          <w:b/>
          <w:szCs w:val="20"/>
        </w:rPr>
      </w:pPr>
    </w:p>
    <w:p w14:paraId="2613A176" w14:textId="77777777" w:rsidR="00DA678C" w:rsidRPr="00E54204" w:rsidRDefault="00DA678C" w:rsidP="00ED18D8">
      <w:pPr>
        <w:spacing w:after="160"/>
        <w:rPr>
          <w:b/>
          <w:szCs w:val="20"/>
        </w:rPr>
      </w:pPr>
    </w:p>
    <w:p w14:paraId="5A260195" w14:textId="77777777" w:rsidR="00DA678C" w:rsidRPr="00E54204" w:rsidRDefault="00DA678C" w:rsidP="00ED18D8">
      <w:pPr>
        <w:spacing w:after="160"/>
        <w:rPr>
          <w:b/>
          <w:szCs w:val="20"/>
        </w:rPr>
      </w:pPr>
    </w:p>
    <w:p w14:paraId="7F17A989" w14:textId="77777777" w:rsidR="00ED18D8" w:rsidRPr="00E54204" w:rsidRDefault="00E31B4F" w:rsidP="00ED18D8">
      <w:pPr>
        <w:spacing w:after="160"/>
        <w:rPr>
          <w:b/>
          <w:szCs w:val="20"/>
        </w:rPr>
      </w:pPr>
      <w:r w:rsidRPr="00E54204">
        <w:rPr>
          <w:b/>
          <w:szCs w:val="20"/>
        </w:rPr>
        <w:t>IV.</w:t>
      </w:r>
      <w:r w:rsidRPr="00E54204">
        <w:rPr>
          <w:b/>
          <w:szCs w:val="20"/>
        </w:rPr>
        <w:tab/>
      </w:r>
      <w:r w:rsidR="00ED18D8" w:rsidRPr="00E54204">
        <w:rPr>
          <w:b/>
          <w:szCs w:val="20"/>
        </w:rPr>
        <w:t>Stories of Rebuke</w:t>
      </w:r>
      <w:r w:rsidR="0058768B" w:rsidRPr="00E54204">
        <w:rPr>
          <w:b/>
          <w:szCs w:val="20"/>
        </w:rPr>
        <w:t>/Judgement</w:t>
      </w:r>
    </w:p>
    <w:p w14:paraId="49CFE900" w14:textId="77777777" w:rsidR="00ED18D8" w:rsidRPr="00E54204" w:rsidRDefault="00E31B4F" w:rsidP="00ED18D8">
      <w:pPr>
        <w:spacing w:after="160"/>
        <w:rPr>
          <w:i/>
          <w:szCs w:val="20"/>
        </w:rPr>
      </w:pPr>
      <w:r w:rsidRPr="00E54204">
        <w:rPr>
          <w:szCs w:val="20"/>
        </w:rPr>
        <w:t>A.</w:t>
      </w:r>
      <w:r w:rsidRPr="00E54204">
        <w:rPr>
          <w:szCs w:val="20"/>
        </w:rPr>
        <w:tab/>
      </w:r>
      <w:r w:rsidR="00ED18D8" w:rsidRPr="00E54204">
        <w:rPr>
          <w:i/>
          <w:szCs w:val="20"/>
        </w:rPr>
        <w:t>Retrojected on to Biblical Figures:</w:t>
      </w:r>
    </w:p>
    <w:p w14:paraId="482A8522" w14:textId="77777777" w:rsidR="00ED18D8" w:rsidRPr="00E54204" w:rsidRDefault="00ED18D8" w:rsidP="00ED18D8">
      <w:pPr>
        <w:spacing w:after="160"/>
        <w:rPr>
          <w:szCs w:val="20"/>
        </w:rPr>
      </w:pPr>
      <w:r w:rsidRPr="00E54204">
        <w:rPr>
          <w:szCs w:val="20"/>
        </w:rPr>
        <w:tab/>
        <w:t xml:space="preserve">As previously mentioned, through </w:t>
      </w:r>
      <w:r w:rsidRPr="00E54204">
        <w:rPr>
          <w:i/>
          <w:szCs w:val="20"/>
        </w:rPr>
        <w:t xml:space="preserve">Haggadah </w:t>
      </w:r>
      <w:r w:rsidRPr="00E54204">
        <w:rPr>
          <w:szCs w:val="20"/>
        </w:rPr>
        <w:t>the rabbis sought to depict important Biblical characters as blameless, even offering dubious or spurious reasonings for their immoral acts.  The same approach was adopted in describing evil characters.  Stories are retold which portray wicked people as committing further heinous actions.  Z.H. Chajes remarked that this hermeneutic creativity stemmed from the Mishnaic principle</w:t>
      </w:r>
      <w:r w:rsidRPr="00E54204">
        <w:rPr>
          <w:szCs w:val="20"/>
          <w:vertAlign w:val="superscript"/>
        </w:rPr>
        <w:footnoteReference w:id="378"/>
      </w:r>
      <w:r w:rsidRPr="00E54204">
        <w:rPr>
          <w:szCs w:val="20"/>
        </w:rPr>
        <w:t xml:space="preserve"> that, “precept draws precept in its train, and transgression draws transgression.”</w:t>
      </w:r>
      <w:r w:rsidRPr="00E54204">
        <w:rPr>
          <w:szCs w:val="20"/>
          <w:vertAlign w:val="superscript"/>
        </w:rPr>
        <w:footnoteReference w:id="379"/>
      </w:r>
      <w:r w:rsidRPr="00E54204">
        <w:rPr>
          <w:szCs w:val="20"/>
        </w:rPr>
        <w:t xml:space="preserve">  In other words, righteous behavior leads to further righteous deportment and wicked behavior leads to further wickedness.  Consequently, the rabbis sought to illustrate such a principle in their own </w:t>
      </w:r>
      <w:r w:rsidRPr="00E54204">
        <w:rPr>
          <w:i/>
          <w:szCs w:val="20"/>
        </w:rPr>
        <w:t>Haggadot</w:t>
      </w:r>
      <w:r w:rsidRPr="00E54204">
        <w:rPr>
          <w:szCs w:val="20"/>
        </w:rPr>
        <w:t xml:space="preserve">.  </w:t>
      </w:r>
    </w:p>
    <w:p w14:paraId="224244EB" w14:textId="77777777" w:rsidR="00ED18D8" w:rsidRPr="00E54204" w:rsidRDefault="00ED18D8" w:rsidP="00E16808">
      <w:pPr>
        <w:ind w:firstLine="720"/>
        <w:rPr>
          <w:szCs w:val="20"/>
        </w:rPr>
      </w:pPr>
      <w:r w:rsidRPr="00E54204">
        <w:rPr>
          <w:szCs w:val="20"/>
        </w:rPr>
        <w:t>In the previous chapter, I discussed the rabbi’s ill-favored portrayal of king Nebuchadnezzar.</w:t>
      </w:r>
      <w:r w:rsidRPr="00E54204">
        <w:rPr>
          <w:szCs w:val="20"/>
          <w:vertAlign w:val="superscript"/>
        </w:rPr>
        <w:footnoteReference w:id="380"/>
      </w:r>
      <w:r w:rsidRPr="00E54204">
        <w:rPr>
          <w:szCs w:val="20"/>
        </w:rPr>
        <w:t xml:space="preserve">  </w:t>
      </w:r>
      <w:r w:rsidRPr="00E54204">
        <w:rPr>
          <w:bCs/>
          <w:szCs w:val="20"/>
        </w:rPr>
        <w:t>The political leader responsible for razing the Temple and exiling the people in 586 BCE is depicted as being sentenced to punishment in the afterlife</w:t>
      </w:r>
      <w:r w:rsidR="006238A1" w:rsidRPr="00E54204">
        <w:rPr>
          <w:szCs w:val="20"/>
        </w:rPr>
        <w:t xml:space="preserve">.  The rabbis elaborate a story, building </w:t>
      </w:r>
      <w:r w:rsidRPr="00E54204">
        <w:rPr>
          <w:szCs w:val="20"/>
        </w:rPr>
        <w:t>o</w:t>
      </w:r>
      <w:r w:rsidR="006238A1" w:rsidRPr="00E54204">
        <w:rPr>
          <w:szCs w:val="20"/>
        </w:rPr>
        <w:t>n</w:t>
      </w:r>
      <w:r w:rsidRPr="00E54204">
        <w:rPr>
          <w:szCs w:val="20"/>
        </w:rPr>
        <w:t xml:space="preserve"> that found in the book of Daniel, that additional words were delivered to Nebuchadnezzar informing him that rather</w:t>
      </w:r>
      <w:r w:rsidR="006238A1" w:rsidRPr="00E54204">
        <w:rPr>
          <w:szCs w:val="20"/>
        </w:rPr>
        <w:t xml:space="preserve"> than</w:t>
      </w:r>
      <w:r w:rsidRPr="00E54204">
        <w:rPr>
          <w:szCs w:val="20"/>
        </w:rPr>
        <w:t xml:space="preserve"> being raised high in power and glory, he will be cast down to the depths of the pit.  The words of the </w:t>
      </w:r>
      <w:r w:rsidRPr="00E54204">
        <w:rPr>
          <w:i/>
          <w:szCs w:val="20"/>
        </w:rPr>
        <w:t xml:space="preserve">bat kol </w:t>
      </w:r>
      <w:r w:rsidRPr="00E54204">
        <w:rPr>
          <w:szCs w:val="20"/>
        </w:rPr>
        <w:t>are, “</w:t>
      </w:r>
      <w:r w:rsidRPr="00E54204">
        <w:rPr>
          <w:bCs/>
          <w:szCs w:val="20"/>
        </w:rPr>
        <w:t>wicked man, son of a wicked man…who led the whole world in rebellion against Me during his reign…but to the nether world will you be brought down, to the depths of the pit!”</w:t>
      </w:r>
      <w:r w:rsidR="00A91960" w:rsidRPr="00E54204">
        <w:rPr>
          <w:bCs/>
          <w:szCs w:val="20"/>
        </w:rPr>
        <w:t xml:space="preserve">  </w:t>
      </w:r>
      <w:r w:rsidRPr="00E54204">
        <w:rPr>
          <w:bCs/>
          <w:szCs w:val="20"/>
        </w:rPr>
        <w:t>Here we see the rabbis apply the principle that certain actions beget more of the same action.  Hence the emphatic phrase, “wicked man, son of a wicked man” is underscoring a continuation of wickedness inherited by Nebuchadnezzar’s progenitor.</w:t>
      </w:r>
      <w:r w:rsidRPr="00E54204">
        <w:rPr>
          <w:bCs/>
          <w:szCs w:val="20"/>
          <w:vertAlign w:val="superscript"/>
        </w:rPr>
        <w:footnoteReference w:id="381"/>
      </w:r>
    </w:p>
    <w:p w14:paraId="635A9D7F" w14:textId="77777777" w:rsidR="00ED18D8" w:rsidRPr="00E54204" w:rsidRDefault="00ED18D8" w:rsidP="006916E5">
      <w:pPr>
        <w:spacing w:after="160"/>
        <w:ind w:firstLine="720"/>
        <w:rPr>
          <w:bCs/>
          <w:szCs w:val="20"/>
        </w:rPr>
      </w:pPr>
      <w:r w:rsidRPr="00E54204">
        <w:rPr>
          <w:bCs/>
          <w:szCs w:val="20"/>
        </w:rPr>
        <w:t xml:space="preserve">A second text, B. </w:t>
      </w:r>
      <w:r w:rsidRPr="00E54204">
        <w:rPr>
          <w:bCs/>
          <w:i/>
          <w:szCs w:val="20"/>
        </w:rPr>
        <w:t xml:space="preserve">Shabbat </w:t>
      </w:r>
      <w:r w:rsidR="001B7331" w:rsidRPr="00E54204">
        <w:rPr>
          <w:bCs/>
          <w:szCs w:val="20"/>
        </w:rPr>
        <w:t>149b, asserts</w:t>
      </w:r>
      <w:r w:rsidRPr="00E54204">
        <w:rPr>
          <w:bCs/>
          <w:szCs w:val="20"/>
        </w:rPr>
        <w:t xml:space="preserve"> that Nebuchadnezzar engaged in homosexual activity with his own royal staff.  It records that while this wicked man (i.e., Nebuchadnezzar) was alive, not a single creature had joy in its mouth.</w:t>
      </w:r>
      <w:r w:rsidRPr="00E54204">
        <w:rPr>
          <w:bCs/>
          <w:szCs w:val="20"/>
          <w:vertAlign w:val="superscript"/>
        </w:rPr>
        <w:footnoteReference w:id="382"/>
      </w:r>
      <w:r w:rsidRPr="00E54204">
        <w:rPr>
          <w:bCs/>
          <w:szCs w:val="20"/>
        </w:rPr>
        <w:t xml:space="preserve">  Furthermore, upon his descent into Gehen</w:t>
      </w:r>
      <w:r w:rsidR="00655B5C" w:rsidRPr="00E54204">
        <w:rPr>
          <w:bCs/>
          <w:szCs w:val="20"/>
        </w:rPr>
        <w:t>n</w:t>
      </w:r>
      <w:r w:rsidRPr="00E54204">
        <w:rPr>
          <w:bCs/>
          <w:szCs w:val="20"/>
        </w:rPr>
        <w:t>a</w:t>
      </w:r>
      <w:r w:rsidRPr="00E54204">
        <w:rPr>
          <w:bCs/>
          <w:szCs w:val="20"/>
          <w:vertAlign w:val="superscript"/>
        </w:rPr>
        <w:footnoteReference w:id="383"/>
      </w:r>
      <w:r w:rsidRPr="00E54204">
        <w:rPr>
          <w:bCs/>
          <w:szCs w:val="20"/>
        </w:rPr>
        <w:t xml:space="preserve"> the people there became afraid, whereupon the </w:t>
      </w:r>
      <w:r w:rsidRPr="00E54204">
        <w:rPr>
          <w:bCs/>
          <w:i/>
          <w:szCs w:val="20"/>
        </w:rPr>
        <w:t xml:space="preserve">bat kol </w:t>
      </w:r>
      <w:r w:rsidR="00805163" w:rsidRPr="00E54204">
        <w:rPr>
          <w:bCs/>
          <w:szCs w:val="20"/>
        </w:rPr>
        <w:t>declared to him, “G</w:t>
      </w:r>
      <w:r w:rsidRPr="00E54204">
        <w:rPr>
          <w:bCs/>
          <w:szCs w:val="20"/>
        </w:rPr>
        <w:t>o down and be laid with the uncircumcised.”</w:t>
      </w:r>
      <w:r w:rsidRPr="00E54204">
        <w:rPr>
          <w:bCs/>
          <w:szCs w:val="20"/>
          <w:vertAlign w:val="superscript"/>
        </w:rPr>
        <w:footnoteReference w:id="384"/>
      </w:r>
      <w:r w:rsidRPr="00E54204">
        <w:rPr>
          <w:bCs/>
          <w:szCs w:val="20"/>
        </w:rPr>
        <w:t xml:space="preserve">  The additional details related in this </w:t>
      </w:r>
      <w:r w:rsidRPr="00E54204">
        <w:rPr>
          <w:bCs/>
          <w:i/>
          <w:szCs w:val="20"/>
        </w:rPr>
        <w:t>Haggadah</w:t>
      </w:r>
      <w:r w:rsidRPr="00E54204">
        <w:rPr>
          <w:bCs/>
          <w:szCs w:val="20"/>
        </w:rPr>
        <w:t xml:space="preserve"> strengthen the rabbis’ perception of Nebuchadnezzar as a highly-immoral person receiving his just punishment.</w:t>
      </w:r>
      <w:r w:rsidRPr="00E54204">
        <w:rPr>
          <w:bCs/>
          <w:szCs w:val="20"/>
          <w:vertAlign w:val="superscript"/>
        </w:rPr>
        <w:footnoteReference w:id="385"/>
      </w:r>
    </w:p>
    <w:p w14:paraId="2658FED5" w14:textId="77777777" w:rsidR="00ED18D8" w:rsidRPr="00E54204" w:rsidRDefault="00ED18D8" w:rsidP="00ED18D8">
      <w:pPr>
        <w:spacing w:after="160"/>
        <w:ind w:firstLine="720"/>
        <w:rPr>
          <w:bCs/>
          <w:szCs w:val="20"/>
        </w:rPr>
      </w:pPr>
      <w:r w:rsidRPr="00E54204">
        <w:rPr>
          <w:bCs/>
          <w:szCs w:val="20"/>
        </w:rPr>
        <w:t>Another ugly figure spoken of by the rabbis is Titus, the Roman general (and later emperor) responsible for carry</w:t>
      </w:r>
      <w:r w:rsidR="005F513D" w:rsidRPr="00E54204">
        <w:rPr>
          <w:bCs/>
          <w:szCs w:val="20"/>
        </w:rPr>
        <w:t>ing out the destruction of the T</w:t>
      </w:r>
      <w:r w:rsidRPr="00E54204">
        <w:rPr>
          <w:bCs/>
          <w:szCs w:val="20"/>
        </w:rPr>
        <w:t>emple in 70 CE.  In fact, the same phrase applied to Nebuchadnezzar is spoken to Titus, however, with an extra detail, “wicked man, son of a wicked man, son of Esau the wicked.”</w:t>
      </w:r>
      <w:r w:rsidR="00805163" w:rsidRPr="00E54204">
        <w:rPr>
          <w:rStyle w:val="FootnoteReference"/>
          <w:bCs/>
          <w:szCs w:val="20"/>
        </w:rPr>
        <w:footnoteReference w:id="386"/>
      </w:r>
      <w:r w:rsidRPr="00E54204">
        <w:rPr>
          <w:bCs/>
          <w:szCs w:val="20"/>
        </w:rPr>
        <w:t xml:space="preserve">  Once more, the narrator is connecting a contemporary and evil adversary with an ancient one, namely Esau.</w:t>
      </w:r>
      <w:r w:rsidRPr="00E54204">
        <w:rPr>
          <w:bCs/>
          <w:szCs w:val="20"/>
          <w:vertAlign w:val="superscript"/>
        </w:rPr>
        <w:footnoteReference w:id="387"/>
      </w:r>
      <w:r w:rsidRPr="00E54204">
        <w:rPr>
          <w:bCs/>
          <w:szCs w:val="20"/>
        </w:rPr>
        <w:t xml:space="preserve">   The story recounts that Titus allegedly profaned the Holy of Holies with a prostitute.  As Titus sailed away with objects from the Temple</w:t>
      </w:r>
      <w:r w:rsidR="0017641E" w:rsidRPr="00E54204">
        <w:rPr>
          <w:bCs/>
          <w:szCs w:val="20"/>
        </w:rPr>
        <w:t>, a voice from heaven rang</w:t>
      </w:r>
      <w:r w:rsidRPr="00E54204">
        <w:rPr>
          <w:bCs/>
          <w:szCs w:val="20"/>
        </w:rPr>
        <w:t xml:space="preserve"> forth issuing a challenge to the general, namely to fight against a little gnat.  Titus agreed to the challenge.  The gnat infiltrated his brain and caused him discomfort for seven years.  Prior to his death, Titus asked for his ashes to be spread over the seven seas so that the God of the Jews should not find him and bring him to trial.  Upon opening his skull they discovered that the gnat had grown.</w:t>
      </w:r>
      <w:r w:rsidRPr="00E54204">
        <w:rPr>
          <w:bCs/>
          <w:szCs w:val="20"/>
          <w:vertAlign w:val="superscript"/>
        </w:rPr>
        <w:footnoteReference w:id="388"/>
      </w:r>
      <w:r w:rsidRPr="00E54204">
        <w:rPr>
          <w:bCs/>
          <w:szCs w:val="20"/>
        </w:rPr>
        <w:t xml:space="preserve">  God ultimately vind</w:t>
      </w:r>
      <w:r w:rsidR="00AE1A2E" w:rsidRPr="00E54204">
        <w:rPr>
          <w:bCs/>
          <w:szCs w:val="20"/>
        </w:rPr>
        <w:t>icates His name, by defeating him</w:t>
      </w:r>
      <w:r w:rsidRPr="00E54204">
        <w:rPr>
          <w:bCs/>
          <w:szCs w:val="20"/>
        </w:rPr>
        <w:t xml:space="preserve"> who had desecrated God’s very dwelling place.</w:t>
      </w:r>
    </w:p>
    <w:p w14:paraId="3F350839" w14:textId="77777777" w:rsidR="00ED18D8" w:rsidRPr="00E54204" w:rsidRDefault="00ED18D8" w:rsidP="00ED18D8">
      <w:pPr>
        <w:spacing w:after="160"/>
        <w:ind w:firstLine="720"/>
        <w:rPr>
          <w:bCs/>
          <w:szCs w:val="20"/>
        </w:rPr>
      </w:pPr>
      <w:r w:rsidRPr="00E54204">
        <w:rPr>
          <w:bCs/>
          <w:szCs w:val="20"/>
        </w:rPr>
        <w:t>As in the previou</w:t>
      </w:r>
      <w:r w:rsidR="00161542" w:rsidRPr="00E54204">
        <w:rPr>
          <w:bCs/>
          <w:szCs w:val="20"/>
        </w:rPr>
        <w:t>s section, the reader may notice</w:t>
      </w:r>
      <w:r w:rsidRPr="00E54204">
        <w:rPr>
          <w:bCs/>
          <w:szCs w:val="20"/>
        </w:rPr>
        <w:t xml:space="preserve"> historical figures a</w:t>
      </w:r>
      <w:r w:rsidR="00161542" w:rsidRPr="00E54204">
        <w:rPr>
          <w:bCs/>
          <w:szCs w:val="20"/>
        </w:rPr>
        <w:t>nd or events that are embedded</w:t>
      </w:r>
      <w:r w:rsidRPr="00E54204">
        <w:rPr>
          <w:bCs/>
          <w:szCs w:val="20"/>
        </w:rPr>
        <w:t xml:space="preserve"> in th</w:t>
      </w:r>
      <w:r w:rsidR="00CA431A" w:rsidRPr="00E54204">
        <w:rPr>
          <w:bCs/>
          <w:szCs w:val="20"/>
        </w:rPr>
        <w:t>ese stories</w:t>
      </w:r>
      <w:r w:rsidR="00956010" w:rsidRPr="00E54204">
        <w:rPr>
          <w:bCs/>
          <w:szCs w:val="20"/>
        </w:rPr>
        <w:t>.  Similar details were added to</w:t>
      </w:r>
      <w:r w:rsidR="00CA6682" w:rsidRPr="00E54204">
        <w:rPr>
          <w:bCs/>
          <w:szCs w:val="20"/>
        </w:rPr>
        <w:t xml:space="preserve"> both the stories of, Nebuchadnezzar and Titus, who we</w:t>
      </w:r>
      <w:r w:rsidRPr="00E54204">
        <w:rPr>
          <w:bCs/>
          <w:szCs w:val="20"/>
        </w:rPr>
        <w:t>re associated with destroying the Temple at various points in history.  The motif of the destruction of the Temple, serves as an important p</w:t>
      </w:r>
      <w:r w:rsidR="00CA6682" w:rsidRPr="00E54204">
        <w:rPr>
          <w:bCs/>
          <w:szCs w:val="20"/>
        </w:rPr>
        <w:t xml:space="preserve">oint of interest for the rabbis which is conveyed in these particular stories of a </w:t>
      </w:r>
      <w:r w:rsidR="00CA6682" w:rsidRPr="00E54204">
        <w:rPr>
          <w:bCs/>
          <w:i/>
          <w:szCs w:val="20"/>
        </w:rPr>
        <w:t xml:space="preserve">bat kol </w:t>
      </w:r>
      <w:r w:rsidR="00CA6682" w:rsidRPr="00E54204">
        <w:rPr>
          <w:bCs/>
          <w:szCs w:val="20"/>
        </w:rPr>
        <w:t>pronouncing various judgments.</w:t>
      </w:r>
      <w:r w:rsidRPr="00E54204">
        <w:rPr>
          <w:bCs/>
          <w:szCs w:val="20"/>
          <w:vertAlign w:val="superscript"/>
        </w:rPr>
        <w:footnoteReference w:id="389"/>
      </w:r>
      <w:r w:rsidRPr="00E54204">
        <w:rPr>
          <w:bCs/>
          <w:szCs w:val="20"/>
        </w:rPr>
        <w:t xml:space="preserve">  These stories lend themselves to be viewed as a kind of unscripted ending, in which God’s judgment is swiftly carried out and both His own dignity and that of His people are redeemed.  The humiliation brought about by these figures is returned upon their own heads in greater and more graphic measure.  The </w:t>
      </w:r>
      <w:r w:rsidRPr="00E54204">
        <w:rPr>
          <w:bCs/>
          <w:i/>
          <w:szCs w:val="20"/>
        </w:rPr>
        <w:t xml:space="preserve">bat kol </w:t>
      </w:r>
      <w:r w:rsidRPr="00E54204">
        <w:rPr>
          <w:bCs/>
          <w:szCs w:val="20"/>
        </w:rPr>
        <w:t>figures as the celestial me</w:t>
      </w:r>
      <w:r w:rsidR="00CA6682" w:rsidRPr="00E54204">
        <w:rPr>
          <w:bCs/>
          <w:szCs w:val="20"/>
        </w:rPr>
        <w:t>ssenger appearing suddenly</w:t>
      </w:r>
      <w:r w:rsidRPr="00E54204">
        <w:rPr>
          <w:bCs/>
          <w:szCs w:val="20"/>
        </w:rPr>
        <w:t xml:space="preserve"> in these stories as God’s mouthpiece, rebuking them both for their pride and actions.  It is the mechanism resorted to for introd</w:t>
      </w:r>
      <w:r w:rsidR="00A31C30" w:rsidRPr="00E54204">
        <w:rPr>
          <w:bCs/>
          <w:szCs w:val="20"/>
        </w:rPr>
        <w:t>ucing God’s intervening actions;</w:t>
      </w:r>
      <w:r w:rsidRPr="00E54204">
        <w:rPr>
          <w:bCs/>
          <w:szCs w:val="20"/>
        </w:rPr>
        <w:t xml:space="preserve"> it is employed</w:t>
      </w:r>
      <w:r w:rsidR="00A31C30" w:rsidRPr="00E54204">
        <w:rPr>
          <w:bCs/>
          <w:szCs w:val="20"/>
        </w:rPr>
        <w:t xml:space="preserve"> as a voice of justice and hope,</w:t>
      </w:r>
      <w:r w:rsidRPr="00E54204">
        <w:rPr>
          <w:bCs/>
          <w:szCs w:val="20"/>
        </w:rPr>
        <w:t xml:space="preserve"> concepts surely the rabb</w:t>
      </w:r>
      <w:r w:rsidR="00A31C30" w:rsidRPr="00E54204">
        <w:rPr>
          <w:bCs/>
          <w:szCs w:val="20"/>
        </w:rPr>
        <w:t xml:space="preserve">is were creatively transmitting in order to </w:t>
      </w:r>
      <w:r w:rsidR="00EF69C7" w:rsidRPr="00E54204">
        <w:rPr>
          <w:bCs/>
          <w:szCs w:val="20"/>
        </w:rPr>
        <w:t>promote hope</w:t>
      </w:r>
      <w:r w:rsidR="00766735" w:rsidRPr="00E54204">
        <w:rPr>
          <w:bCs/>
          <w:szCs w:val="20"/>
        </w:rPr>
        <w:t xml:space="preserve"> and faith in the God of Israel</w:t>
      </w:r>
      <w:r w:rsidR="00EF69C7" w:rsidRPr="00E54204">
        <w:rPr>
          <w:bCs/>
          <w:szCs w:val="20"/>
        </w:rPr>
        <w:t xml:space="preserve"> among other purposes. </w:t>
      </w:r>
      <w:r w:rsidRPr="00E54204">
        <w:rPr>
          <w:bCs/>
          <w:szCs w:val="20"/>
        </w:rPr>
        <w:t xml:space="preserve">     </w:t>
      </w:r>
    </w:p>
    <w:p w14:paraId="70893A30" w14:textId="77777777" w:rsidR="00ED18D8" w:rsidRPr="00E54204" w:rsidRDefault="00E31B4F" w:rsidP="00ED18D8">
      <w:pPr>
        <w:spacing w:after="160"/>
        <w:rPr>
          <w:b/>
          <w:szCs w:val="20"/>
        </w:rPr>
      </w:pPr>
      <w:r w:rsidRPr="00E54204">
        <w:rPr>
          <w:b/>
          <w:szCs w:val="20"/>
        </w:rPr>
        <w:t>V.</w:t>
      </w:r>
      <w:r w:rsidRPr="00E54204">
        <w:rPr>
          <w:b/>
          <w:szCs w:val="20"/>
        </w:rPr>
        <w:tab/>
      </w:r>
      <w:r w:rsidR="00EF69C7" w:rsidRPr="00E54204">
        <w:rPr>
          <w:b/>
          <w:szCs w:val="20"/>
        </w:rPr>
        <w:t>Halac</w:t>
      </w:r>
      <w:r w:rsidR="00ED18D8" w:rsidRPr="00E54204">
        <w:rPr>
          <w:b/>
          <w:szCs w:val="20"/>
        </w:rPr>
        <w:t>ha</w:t>
      </w:r>
    </w:p>
    <w:p w14:paraId="5B8A2837" w14:textId="77777777" w:rsidR="00ED18D8" w:rsidRPr="00E54204" w:rsidRDefault="00ED18D8" w:rsidP="00ED18D8">
      <w:pPr>
        <w:spacing w:after="160"/>
        <w:rPr>
          <w:szCs w:val="20"/>
        </w:rPr>
      </w:pPr>
      <w:r w:rsidRPr="00E54204">
        <w:rPr>
          <w:b/>
          <w:szCs w:val="20"/>
        </w:rPr>
        <w:tab/>
      </w:r>
      <w:r w:rsidR="00DB0447" w:rsidRPr="00E54204">
        <w:rPr>
          <w:szCs w:val="20"/>
        </w:rPr>
        <w:t>Of the sixty-two</w:t>
      </w:r>
      <w:r w:rsidR="00EF69C7" w:rsidRPr="00E54204">
        <w:rPr>
          <w:szCs w:val="20"/>
        </w:rPr>
        <w:t xml:space="preserve"> stor</w:t>
      </w:r>
      <w:r w:rsidR="00605657" w:rsidRPr="00E54204">
        <w:rPr>
          <w:szCs w:val="20"/>
        </w:rPr>
        <w:t>ies presented in table 2</w:t>
      </w:r>
      <w:r w:rsidR="009656DB" w:rsidRPr="00E54204">
        <w:rPr>
          <w:szCs w:val="20"/>
        </w:rPr>
        <w:t>, eight</w:t>
      </w:r>
      <w:r w:rsidR="00EF69C7" w:rsidRPr="00E54204">
        <w:rPr>
          <w:szCs w:val="20"/>
        </w:rPr>
        <w:t xml:space="preserve"> pertain to </w:t>
      </w:r>
      <w:r w:rsidR="004B512C" w:rsidRPr="00E54204">
        <w:rPr>
          <w:i/>
          <w:szCs w:val="20"/>
        </w:rPr>
        <w:t>H</w:t>
      </w:r>
      <w:r w:rsidR="00EF69C7" w:rsidRPr="00E54204">
        <w:rPr>
          <w:i/>
          <w:szCs w:val="20"/>
        </w:rPr>
        <w:t>alacha</w:t>
      </w:r>
      <w:r w:rsidRPr="00E54204">
        <w:rPr>
          <w:szCs w:val="20"/>
        </w:rPr>
        <w:t xml:space="preserve">.  </w:t>
      </w:r>
      <w:r w:rsidR="00EF69C7" w:rsidRPr="00E54204">
        <w:rPr>
          <w:i/>
          <w:szCs w:val="20"/>
        </w:rPr>
        <w:t>Halac</w:t>
      </w:r>
      <w:r w:rsidRPr="00E54204">
        <w:rPr>
          <w:i/>
          <w:szCs w:val="20"/>
        </w:rPr>
        <w:t>ha</w:t>
      </w:r>
      <w:r w:rsidRPr="00E54204">
        <w:rPr>
          <w:szCs w:val="20"/>
        </w:rPr>
        <w:t xml:space="preserve"> comes from the Hebrew (</w:t>
      </w:r>
      <w:r w:rsidRPr="00E54204">
        <w:rPr>
          <w:i/>
          <w:szCs w:val="20"/>
        </w:rPr>
        <w:t>halakh</w:t>
      </w:r>
      <w:r w:rsidRPr="00E54204">
        <w:rPr>
          <w:szCs w:val="20"/>
        </w:rPr>
        <w:t>) meanin</w:t>
      </w:r>
      <w:r w:rsidR="00FC57A5" w:rsidRPr="00E54204">
        <w:rPr>
          <w:szCs w:val="20"/>
        </w:rPr>
        <w:t>g “to walk.”  The basic idea is living one’s life in conformity with the Torah</w:t>
      </w:r>
      <w:r w:rsidRPr="00E54204">
        <w:rPr>
          <w:szCs w:val="20"/>
        </w:rPr>
        <w:t xml:space="preserve">.  Isidore Epstein defines the rabbinic </w:t>
      </w:r>
      <w:r w:rsidR="00EF69C7" w:rsidRPr="00E54204">
        <w:rPr>
          <w:i/>
          <w:szCs w:val="20"/>
        </w:rPr>
        <w:t>Halacha</w:t>
      </w:r>
      <w:r w:rsidRPr="00E54204">
        <w:rPr>
          <w:szCs w:val="20"/>
        </w:rPr>
        <w:t xml:space="preserve"> chiefly as, “the final decision of the rabbis, whether based on tradition or argument, on disputed rules of conduct.”</w:t>
      </w:r>
      <w:r w:rsidRPr="00E54204">
        <w:rPr>
          <w:szCs w:val="20"/>
          <w:vertAlign w:val="superscript"/>
        </w:rPr>
        <w:footnoteReference w:id="390"/>
      </w:r>
      <w:r w:rsidRPr="00E54204">
        <w:rPr>
          <w:szCs w:val="20"/>
        </w:rPr>
        <w:t xml:space="preserve">  However, there is one well-known story which is perti</w:t>
      </w:r>
      <w:r w:rsidR="00520750" w:rsidRPr="00E54204">
        <w:rPr>
          <w:szCs w:val="20"/>
        </w:rPr>
        <w:t xml:space="preserve">nent to this study’s discussion in which a “heavenly voice” apparently </w:t>
      </w:r>
      <w:r w:rsidR="00FC57A5" w:rsidRPr="00E54204">
        <w:rPr>
          <w:szCs w:val="20"/>
        </w:rPr>
        <w:t>is interjected in a protracted legal debate</w:t>
      </w:r>
      <w:r w:rsidR="00520750" w:rsidRPr="00E54204">
        <w:rPr>
          <w:szCs w:val="20"/>
        </w:rPr>
        <w:t>.</w:t>
      </w:r>
      <w:r w:rsidR="009656DB" w:rsidRPr="00E54204">
        <w:rPr>
          <w:szCs w:val="20"/>
        </w:rPr>
        <w:t xml:space="preserve">  The two following stories could be placed in the category of praising or endorsing an individual, however, since the reason for heaven’s selecting an individual over another in terms of </w:t>
      </w:r>
      <w:r w:rsidR="009656DB" w:rsidRPr="00E54204">
        <w:rPr>
          <w:i/>
          <w:szCs w:val="20"/>
        </w:rPr>
        <w:t>Halacha</w:t>
      </w:r>
      <w:r w:rsidR="009656DB" w:rsidRPr="00E54204">
        <w:rPr>
          <w:szCs w:val="20"/>
        </w:rPr>
        <w:t>, I have placed them in the category of stories pertaining to Jewish Law.</w:t>
      </w:r>
    </w:p>
    <w:p w14:paraId="5E35ABA8" w14:textId="77777777" w:rsidR="00ED18D8" w:rsidRPr="00E54204" w:rsidRDefault="00E31B4F" w:rsidP="00ED18D8">
      <w:pPr>
        <w:spacing w:after="160"/>
        <w:rPr>
          <w:szCs w:val="20"/>
        </w:rPr>
      </w:pPr>
      <w:r w:rsidRPr="00E54204">
        <w:rPr>
          <w:szCs w:val="20"/>
        </w:rPr>
        <w:t>A.</w:t>
      </w:r>
      <w:r w:rsidRPr="00E54204">
        <w:rPr>
          <w:szCs w:val="20"/>
        </w:rPr>
        <w:tab/>
      </w:r>
      <w:r w:rsidR="00ED18D8" w:rsidRPr="00E54204">
        <w:rPr>
          <w:i/>
          <w:szCs w:val="20"/>
        </w:rPr>
        <w:t>Hillel vs. Shammai:</w:t>
      </w:r>
      <w:r w:rsidR="00ED18D8" w:rsidRPr="00E54204">
        <w:rPr>
          <w:szCs w:val="20"/>
        </w:rPr>
        <w:t xml:space="preserve">  </w:t>
      </w:r>
    </w:p>
    <w:p w14:paraId="4C073887" w14:textId="77777777" w:rsidR="00ED18D8" w:rsidRPr="00E54204" w:rsidRDefault="00ED18D8" w:rsidP="000F11AD">
      <w:pPr>
        <w:ind w:firstLine="720"/>
        <w:rPr>
          <w:szCs w:val="20"/>
        </w:rPr>
      </w:pPr>
      <w:r w:rsidRPr="00E54204">
        <w:rPr>
          <w:szCs w:val="20"/>
        </w:rPr>
        <w:t>It is when the two schools of Hillel and Shammai were at a stalemate in terms of which school’s legal rulings should be followed.</w:t>
      </w:r>
      <w:r w:rsidRPr="00E54204">
        <w:rPr>
          <w:szCs w:val="20"/>
          <w:vertAlign w:val="superscript"/>
        </w:rPr>
        <w:footnoteReference w:id="391"/>
      </w:r>
      <w:r w:rsidRPr="00E54204">
        <w:rPr>
          <w:szCs w:val="20"/>
        </w:rPr>
        <w:t xml:space="preserve">  Shammai had the reputation of being very austere and conservative while Hillel was known to be more progressive and flexible in</w:t>
      </w:r>
      <w:r w:rsidR="00DA678C" w:rsidRPr="00E54204">
        <w:rPr>
          <w:szCs w:val="20"/>
        </w:rPr>
        <w:t xml:space="preserve"> terms of </w:t>
      </w:r>
      <w:r w:rsidR="00EF69C7" w:rsidRPr="00E54204">
        <w:rPr>
          <w:i/>
          <w:szCs w:val="20"/>
        </w:rPr>
        <w:t>Halach</w:t>
      </w:r>
      <w:r w:rsidRPr="00E54204">
        <w:rPr>
          <w:i/>
          <w:szCs w:val="20"/>
        </w:rPr>
        <w:t>a</w:t>
      </w:r>
      <w:r w:rsidRPr="00E54204">
        <w:rPr>
          <w:szCs w:val="20"/>
        </w:rPr>
        <w:t xml:space="preserve">.  The story is found in the Bavli in tractate Eruvin </w:t>
      </w:r>
      <w:r w:rsidR="005255D8" w:rsidRPr="00E54204">
        <w:rPr>
          <w:szCs w:val="20"/>
        </w:rPr>
        <w:t>13b.  The text begins by exhibiting a dialectic approach to</w:t>
      </w:r>
      <w:r w:rsidRPr="00E54204">
        <w:rPr>
          <w:szCs w:val="20"/>
        </w:rPr>
        <w:t xml:space="preserve"> </w:t>
      </w:r>
      <w:r w:rsidR="00EF69C7" w:rsidRPr="00E54204">
        <w:rPr>
          <w:i/>
          <w:szCs w:val="20"/>
        </w:rPr>
        <w:t>Halac</w:t>
      </w:r>
      <w:r w:rsidRPr="00E54204">
        <w:rPr>
          <w:i/>
          <w:szCs w:val="20"/>
        </w:rPr>
        <w:t>ha</w:t>
      </w:r>
      <w:r w:rsidR="0000049F" w:rsidRPr="00E54204">
        <w:rPr>
          <w:szCs w:val="20"/>
        </w:rPr>
        <w:t xml:space="preserve">.  A sage </w:t>
      </w:r>
      <w:r w:rsidRPr="00E54204">
        <w:rPr>
          <w:szCs w:val="20"/>
        </w:rPr>
        <w:t>c</w:t>
      </w:r>
      <w:r w:rsidR="005255D8" w:rsidRPr="00E54204">
        <w:rPr>
          <w:szCs w:val="20"/>
        </w:rPr>
        <w:t xml:space="preserve">alled Sumchos, </w:t>
      </w:r>
      <w:r w:rsidRPr="00E54204">
        <w:rPr>
          <w:szCs w:val="20"/>
        </w:rPr>
        <w:t>was able to give forty-eight justifications for ruling something impure and forty-eight justifications for ruling something pure.</w:t>
      </w:r>
      <w:r w:rsidRPr="00E54204">
        <w:rPr>
          <w:szCs w:val="20"/>
          <w:vertAlign w:val="superscript"/>
        </w:rPr>
        <w:footnoteReference w:id="392"/>
      </w:r>
      <w:r w:rsidRPr="00E54204">
        <w:rPr>
          <w:szCs w:val="20"/>
        </w:rPr>
        <w:t xml:space="preserve">  Shortly after we read of the prolonged standstill between these two important schools of learning: </w:t>
      </w:r>
    </w:p>
    <w:p w14:paraId="4C106D7B" w14:textId="77777777" w:rsidR="00ED18D8" w:rsidRPr="00E54204" w:rsidRDefault="00ED18D8" w:rsidP="000F11AD">
      <w:pPr>
        <w:spacing w:line="240" w:lineRule="auto"/>
        <w:rPr>
          <w:szCs w:val="20"/>
        </w:rPr>
      </w:pPr>
      <w:r w:rsidRPr="00E54204">
        <w:rPr>
          <w:szCs w:val="20"/>
        </w:rPr>
        <w:t>Rabbi Abb</w:t>
      </w:r>
      <w:r w:rsidR="005255D8" w:rsidRPr="00E54204">
        <w:rPr>
          <w:szCs w:val="20"/>
        </w:rPr>
        <w:t>a said in the name of Shmuel, “F</w:t>
      </w:r>
      <w:r w:rsidRPr="00E54204">
        <w:rPr>
          <w:szCs w:val="20"/>
        </w:rPr>
        <w:t>or three years, the House of Hillel and the House of Shammai arg</w:t>
      </w:r>
      <w:r w:rsidR="00EF69C7" w:rsidRPr="00E54204">
        <w:rPr>
          <w:szCs w:val="20"/>
        </w:rPr>
        <w:t>ued. One said, 'The Halac</w:t>
      </w:r>
      <w:r w:rsidRPr="00E54204">
        <w:rPr>
          <w:szCs w:val="20"/>
        </w:rPr>
        <w:t xml:space="preserve">ha is like us,' and the other said, 'The </w:t>
      </w:r>
      <w:r w:rsidR="00EF69C7" w:rsidRPr="00E54204">
        <w:rPr>
          <w:szCs w:val="20"/>
        </w:rPr>
        <w:t>Halac</w:t>
      </w:r>
      <w:r w:rsidRPr="00E54204">
        <w:rPr>
          <w:szCs w:val="20"/>
        </w:rPr>
        <w:t>ha is like us.’  A heavenly voice spoke:</w:t>
      </w:r>
      <w:r w:rsidRPr="00E54204">
        <w:rPr>
          <w:szCs w:val="20"/>
          <w:rtl/>
          <w:lang w:bidi="he-IL"/>
        </w:rPr>
        <w:t xml:space="preserve"> </w:t>
      </w:r>
      <w:r w:rsidRPr="00E54204">
        <w:rPr>
          <w:szCs w:val="20"/>
        </w:rPr>
        <w:t>"These and these are the words o</w:t>
      </w:r>
      <w:r w:rsidR="00EF69C7" w:rsidRPr="00E54204">
        <w:rPr>
          <w:szCs w:val="20"/>
        </w:rPr>
        <w:t>f the living God, and the Halach</w:t>
      </w:r>
      <w:r w:rsidRPr="00E54204">
        <w:rPr>
          <w:szCs w:val="20"/>
        </w:rPr>
        <w:t>a is like the House of Hillel."”  A question was raised: Since the heavenly voice declared: "Both these and those are the words of the</w:t>
      </w:r>
      <w:r w:rsidR="00EF69C7" w:rsidRPr="00E54204">
        <w:rPr>
          <w:szCs w:val="20"/>
        </w:rPr>
        <w:t xml:space="preserve"> Living God," why was the Halach</w:t>
      </w:r>
      <w:r w:rsidRPr="00E54204">
        <w:rPr>
          <w:szCs w:val="20"/>
        </w:rPr>
        <w:t>a established to follow the opinion of Hillel?  It is because the students of Hillel were kind and gracious. They taught their own ideas as well as the ideas from the students of Shammai.  Not only for this reason, but they went so far as to teach Shammai’s opinions first.</w:t>
      </w:r>
      <w:r w:rsidRPr="00E54204">
        <w:rPr>
          <w:szCs w:val="20"/>
          <w:vertAlign w:val="superscript"/>
        </w:rPr>
        <w:footnoteReference w:id="393"/>
      </w:r>
    </w:p>
    <w:p w14:paraId="2D44EABE" w14:textId="77777777" w:rsidR="000F11AD" w:rsidRPr="00E54204" w:rsidRDefault="000F11AD" w:rsidP="000F11AD">
      <w:pPr>
        <w:spacing w:line="240" w:lineRule="auto"/>
        <w:rPr>
          <w:szCs w:val="20"/>
        </w:rPr>
      </w:pPr>
    </w:p>
    <w:p w14:paraId="47EE3372" w14:textId="77777777" w:rsidR="00ED18D8" w:rsidRPr="00E54204" w:rsidRDefault="00ED18D8" w:rsidP="000F11AD">
      <w:pPr>
        <w:ind w:firstLine="720"/>
        <w:rPr>
          <w:szCs w:val="20"/>
        </w:rPr>
      </w:pPr>
      <w:r w:rsidRPr="00E54204">
        <w:rPr>
          <w:szCs w:val="20"/>
        </w:rPr>
        <w:t>The story pu</w:t>
      </w:r>
      <w:r w:rsidR="00C80A0F" w:rsidRPr="00E54204">
        <w:rPr>
          <w:szCs w:val="20"/>
        </w:rPr>
        <w:t>rports that sages were at a loss</w:t>
      </w:r>
      <w:r w:rsidRPr="00E54204">
        <w:rPr>
          <w:szCs w:val="20"/>
        </w:rPr>
        <w:t xml:space="preserve"> as to whose legal decisions should be followed at a certain point in time.  Alexander Guttman</w:t>
      </w:r>
      <w:r w:rsidR="002B59CF" w:rsidRPr="00E54204">
        <w:rPr>
          <w:szCs w:val="20"/>
        </w:rPr>
        <w:t>n</w:t>
      </w:r>
      <w:r w:rsidRPr="00E54204">
        <w:rPr>
          <w:szCs w:val="20"/>
        </w:rPr>
        <w:t xml:space="preserve"> considered this incident to have taken place while the </w:t>
      </w:r>
      <w:r w:rsidRPr="00E54204">
        <w:rPr>
          <w:i/>
          <w:szCs w:val="20"/>
        </w:rPr>
        <w:t>Bet Din Ha-Gadol</w:t>
      </w:r>
      <w:r w:rsidR="000F11AD" w:rsidRPr="00E54204">
        <w:rPr>
          <w:szCs w:val="20"/>
        </w:rPr>
        <w:t xml:space="preserve"> (“Great C</w:t>
      </w:r>
      <w:r w:rsidRPr="00E54204">
        <w:rPr>
          <w:szCs w:val="20"/>
        </w:rPr>
        <w:t>ourt”)</w:t>
      </w:r>
      <w:r w:rsidRPr="00E54204">
        <w:rPr>
          <w:szCs w:val="20"/>
          <w:vertAlign w:val="superscript"/>
        </w:rPr>
        <w:footnoteReference w:id="394"/>
      </w:r>
      <w:r w:rsidRPr="00E54204">
        <w:rPr>
          <w:i/>
          <w:szCs w:val="20"/>
        </w:rPr>
        <w:t xml:space="preserve"> </w:t>
      </w:r>
      <w:r w:rsidRPr="00E54204">
        <w:rPr>
          <w:szCs w:val="20"/>
        </w:rPr>
        <w:t>resided at Yavneh, shortly after the destruction of the Temple.</w:t>
      </w:r>
      <w:r w:rsidRPr="00E54204">
        <w:rPr>
          <w:szCs w:val="20"/>
          <w:vertAlign w:val="superscript"/>
        </w:rPr>
        <w:footnoteReference w:id="395"/>
      </w:r>
      <w:r w:rsidRPr="00E54204">
        <w:rPr>
          <w:szCs w:val="20"/>
        </w:rPr>
        <w:t xml:space="preserve">  No details are given as to the context of the debate, such as how it began in the first place or over what issue?  In a rather unexpected tu</w:t>
      </w:r>
      <w:r w:rsidR="00A03137" w:rsidRPr="00E54204">
        <w:rPr>
          <w:szCs w:val="20"/>
        </w:rPr>
        <w:t xml:space="preserve">rn of events, God is said </w:t>
      </w:r>
      <w:r w:rsidRPr="00E54204">
        <w:rPr>
          <w:szCs w:val="20"/>
        </w:rPr>
        <w:t>to have intervened bringing lucidity.  Heaven acknowledged the worth of each school’s teachings, albeit the house of Hillel was deemed superior.</w:t>
      </w:r>
      <w:r w:rsidRPr="00E54204">
        <w:rPr>
          <w:szCs w:val="20"/>
          <w:vertAlign w:val="superscript"/>
        </w:rPr>
        <w:footnoteReference w:id="396"/>
      </w:r>
      <w:r w:rsidRPr="00E54204">
        <w:rPr>
          <w:szCs w:val="20"/>
        </w:rPr>
        <w:t xml:space="preserve">  The </w:t>
      </w:r>
      <w:r w:rsidRPr="00E54204">
        <w:rPr>
          <w:i/>
          <w:szCs w:val="20"/>
        </w:rPr>
        <w:t>bat kol</w:t>
      </w:r>
      <w:r w:rsidRPr="00E54204">
        <w:rPr>
          <w:szCs w:val="20"/>
        </w:rPr>
        <w:t>’s declaration</w:t>
      </w:r>
      <w:r w:rsidRPr="00E54204">
        <w:rPr>
          <w:i/>
          <w:szCs w:val="20"/>
        </w:rPr>
        <w:t xml:space="preserve"> </w:t>
      </w:r>
      <w:r w:rsidRPr="00E54204">
        <w:rPr>
          <w:szCs w:val="20"/>
        </w:rPr>
        <w:t xml:space="preserve">fits the overall context of the passage which centers upon the dialectic nature of </w:t>
      </w:r>
      <w:r w:rsidR="004B512C" w:rsidRPr="00E54204">
        <w:rPr>
          <w:i/>
          <w:szCs w:val="20"/>
        </w:rPr>
        <w:t>Halac</w:t>
      </w:r>
      <w:r w:rsidRPr="00E54204">
        <w:rPr>
          <w:i/>
          <w:szCs w:val="20"/>
        </w:rPr>
        <w:t xml:space="preserve">hic </w:t>
      </w:r>
      <w:r w:rsidRPr="00E54204">
        <w:rPr>
          <w:szCs w:val="20"/>
        </w:rPr>
        <w:t xml:space="preserve">discourse.  Naturally, the question follows why Hillel’s words and not Shammai’s were preferred.  The </w:t>
      </w:r>
      <w:r w:rsidRPr="00E54204">
        <w:rPr>
          <w:i/>
          <w:szCs w:val="20"/>
        </w:rPr>
        <w:t xml:space="preserve">bat kol </w:t>
      </w:r>
      <w:r w:rsidRPr="00E54204">
        <w:rPr>
          <w:szCs w:val="20"/>
        </w:rPr>
        <w:t xml:space="preserve">offered no rationale for the endorsement.  Rather the narrators of the text explain the reasoning behind why the </w:t>
      </w:r>
      <w:r w:rsidR="00EF69C7" w:rsidRPr="00E54204">
        <w:rPr>
          <w:i/>
          <w:szCs w:val="20"/>
        </w:rPr>
        <w:t>Halac</w:t>
      </w:r>
      <w:r w:rsidRPr="00E54204">
        <w:rPr>
          <w:i/>
          <w:szCs w:val="20"/>
        </w:rPr>
        <w:t xml:space="preserve">ha </w:t>
      </w:r>
      <w:r w:rsidR="00A03137" w:rsidRPr="00E54204">
        <w:rPr>
          <w:szCs w:val="20"/>
        </w:rPr>
        <w:t>followed</w:t>
      </w:r>
      <w:r w:rsidRPr="00E54204">
        <w:rPr>
          <w:szCs w:val="20"/>
        </w:rPr>
        <w:t xml:space="preserve"> Hillel and not Shammai.  The students of Hillel were kind and gracious, even exhibiting deference to the opinions of their rival by speaking their words first.  However, in a related passage</w:t>
      </w:r>
      <w:r w:rsidR="00FD0F2D" w:rsidRPr="00E54204">
        <w:rPr>
          <w:szCs w:val="20"/>
        </w:rPr>
        <w:t>, J</w:t>
      </w:r>
      <w:r w:rsidRPr="00E54204">
        <w:rPr>
          <w:szCs w:val="20"/>
        </w:rPr>
        <w:t xml:space="preserve">. </w:t>
      </w:r>
      <w:r w:rsidRPr="00E54204">
        <w:rPr>
          <w:i/>
          <w:szCs w:val="20"/>
        </w:rPr>
        <w:t xml:space="preserve">Yevamot </w:t>
      </w:r>
      <w:r w:rsidRPr="00E54204">
        <w:rPr>
          <w:szCs w:val="20"/>
        </w:rPr>
        <w:t xml:space="preserve">9a, we notice the explicit reference to the </w:t>
      </w:r>
      <w:r w:rsidRPr="00E54204">
        <w:rPr>
          <w:i/>
          <w:szCs w:val="20"/>
        </w:rPr>
        <w:t xml:space="preserve">bat kol </w:t>
      </w:r>
      <w:r w:rsidRPr="00E54204">
        <w:rPr>
          <w:szCs w:val="20"/>
        </w:rPr>
        <w:t xml:space="preserve">in the implementation of the </w:t>
      </w:r>
      <w:r w:rsidR="00EF69C7" w:rsidRPr="00E54204">
        <w:rPr>
          <w:i/>
          <w:szCs w:val="20"/>
        </w:rPr>
        <w:t>Halac</w:t>
      </w:r>
      <w:r w:rsidRPr="00E54204">
        <w:rPr>
          <w:i/>
          <w:szCs w:val="20"/>
        </w:rPr>
        <w:t>ha</w:t>
      </w:r>
      <w:r w:rsidRPr="00E54204">
        <w:rPr>
          <w:szCs w:val="20"/>
        </w:rPr>
        <w:t>:</w:t>
      </w:r>
    </w:p>
    <w:p w14:paraId="18386DA4" w14:textId="77777777" w:rsidR="00ED18D8" w:rsidRPr="00E54204" w:rsidRDefault="00ED18D8" w:rsidP="00C80A0F">
      <w:pPr>
        <w:spacing w:line="240" w:lineRule="auto"/>
        <w:rPr>
          <w:szCs w:val="20"/>
        </w:rPr>
      </w:pPr>
      <w:r w:rsidRPr="00E54204">
        <w:rPr>
          <w:szCs w:val="20"/>
        </w:rPr>
        <w:t xml:space="preserve">One should either follow Beth Shammai in both their lenient and their strict rulings; or Beth Hillel in both their lenient and their strict rulings.  This, however, refers to the period prior to the </w:t>
      </w:r>
      <w:r w:rsidRPr="00E54204">
        <w:rPr>
          <w:i/>
          <w:szCs w:val="20"/>
        </w:rPr>
        <w:t>bat kol</w:t>
      </w:r>
      <w:r w:rsidRPr="00E54204">
        <w:rPr>
          <w:szCs w:val="20"/>
        </w:rPr>
        <w:t xml:space="preserve">.  Yet, after the sounding of the </w:t>
      </w:r>
      <w:r w:rsidRPr="00E54204">
        <w:rPr>
          <w:i/>
          <w:szCs w:val="20"/>
        </w:rPr>
        <w:t>bat kol</w:t>
      </w:r>
      <w:r w:rsidR="00EF69C7" w:rsidRPr="00E54204">
        <w:rPr>
          <w:szCs w:val="20"/>
        </w:rPr>
        <w:t xml:space="preserve">, the </w:t>
      </w:r>
      <w:r w:rsidR="00EF69C7" w:rsidRPr="00E54204">
        <w:rPr>
          <w:i/>
          <w:szCs w:val="20"/>
        </w:rPr>
        <w:t>Halac</w:t>
      </w:r>
      <w:r w:rsidRPr="00E54204">
        <w:rPr>
          <w:i/>
          <w:szCs w:val="20"/>
        </w:rPr>
        <w:t>ha</w:t>
      </w:r>
      <w:r w:rsidRPr="00E54204">
        <w:rPr>
          <w:szCs w:val="20"/>
        </w:rPr>
        <w:t xml:space="preserve"> is always in accordance with Beth Hillel, and everyone transgressing the words of Beth Hillel is guilty of death…Where did the </w:t>
      </w:r>
      <w:r w:rsidRPr="00E54204">
        <w:rPr>
          <w:i/>
          <w:szCs w:val="20"/>
        </w:rPr>
        <w:t xml:space="preserve">bat kol </w:t>
      </w:r>
      <w:r w:rsidRPr="00E54204">
        <w:rPr>
          <w:szCs w:val="20"/>
        </w:rPr>
        <w:t>come forth?  Rav Bibi said in the name of Rabbi Yohanan: ‘in Yavneh.”</w:t>
      </w:r>
      <w:r w:rsidRPr="00E54204">
        <w:rPr>
          <w:szCs w:val="20"/>
          <w:vertAlign w:val="superscript"/>
        </w:rPr>
        <w:footnoteReference w:id="397"/>
      </w:r>
    </w:p>
    <w:p w14:paraId="47D2DC28" w14:textId="77777777" w:rsidR="00C80A0F" w:rsidRPr="00E54204" w:rsidRDefault="00C80A0F" w:rsidP="00C80A0F">
      <w:pPr>
        <w:spacing w:line="240" w:lineRule="auto"/>
        <w:rPr>
          <w:szCs w:val="20"/>
        </w:rPr>
      </w:pPr>
    </w:p>
    <w:p w14:paraId="7F54D17B" w14:textId="77777777" w:rsidR="00571B99" w:rsidRPr="00E54204" w:rsidRDefault="00ED18D8" w:rsidP="00C80A0F">
      <w:pPr>
        <w:ind w:firstLine="720"/>
        <w:rPr>
          <w:szCs w:val="20"/>
        </w:rPr>
      </w:pPr>
      <w:r w:rsidRPr="00E54204">
        <w:rPr>
          <w:szCs w:val="20"/>
        </w:rPr>
        <w:t xml:space="preserve">What is peculiar is the description of the </w:t>
      </w:r>
      <w:r w:rsidRPr="00E54204">
        <w:rPr>
          <w:i/>
          <w:szCs w:val="20"/>
        </w:rPr>
        <w:t xml:space="preserve">bat kol </w:t>
      </w:r>
      <w:r w:rsidRPr="00E54204">
        <w:rPr>
          <w:szCs w:val="20"/>
        </w:rPr>
        <w:t>as a marker.  Pre-</w:t>
      </w:r>
      <w:r w:rsidRPr="00E54204">
        <w:rPr>
          <w:i/>
          <w:szCs w:val="20"/>
        </w:rPr>
        <w:t>bat kol</w:t>
      </w:r>
      <w:r w:rsidRPr="00E54204">
        <w:rPr>
          <w:szCs w:val="20"/>
        </w:rPr>
        <w:t>, rulings from either school were permitted, post-</w:t>
      </w:r>
      <w:r w:rsidRPr="00E54204">
        <w:rPr>
          <w:i/>
          <w:szCs w:val="20"/>
        </w:rPr>
        <w:t>bat kol</w:t>
      </w:r>
      <w:r w:rsidRPr="00E54204">
        <w:rPr>
          <w:szCs w:val="20"/>
        </w:rPr>
        <w:t xml:space="preserve">, only the words of Hillel became binding.  Nevertheless, there were exceptions to the </w:t>
      </w:r>
      <w:r w:rsidR="00EF69C7" w:rsidRPr="00E54204">
        <w:rPr>
          <w:i/>
          <w:szCs w:val="20"/>
        </w:rPr>
        <w:t>Halac</w:t>
      </w:r>
      <w:r w:rsidRPr="00E54204">
        <w:rPr>
          <w:i/>
          <w:szCs w:val="20"/>
        </w:rPr>
        <w:t xml:space="preserve">ha </w:t>
      </w:r>
      <w:r w:rsidRPr="00E54204">
        <w:rPr>
          <w:szCs w:val="20"/>
        </w:rPr>
        <w:t xml:space="preserve">“always” following Hillel. </w:t>
      </w:r>
      <w:r w:rsidR="00A03137" w:rsidRPr="00E54204">
        <w:rPr>
          <w:szCs w:val="20"/>
        </w:rPr>
        <w:t xml:space="preserve"> According to Guttmann this indicat</w:t>
      </w:r>
      <w:r w:rsidRPr="00E54204">
        <w:rPr>
          <w:szCs w:val="20"/>
        </w:rPr>
        <w:t>e</w:t>
      </w:r>
      <w:r w:rsidR="00A03137" w:rsidRPr="00E54204">
        <w:rPr>
          <w:szCs w:val="20"/>
        </w:rPr>
        <w:t>s</w:t>
      </w:r>
      <w:r w:rsidRPr="00E54204">
        <w:rPr>
          <w:szCs w:val="20"/>
        </w:rPr>
        <w:t xml:space="preserve"> that the sages relaxed the principle of Bet Hi</w:t>
      </w:r>
      <w:r w:rsidR="00D0599D" w:rsidRPr="00E54204">
        <w:rPr>
          <w:szCs w:val="20"/>
        </w:rPr>
        <w:t>llel’s dominance while allowing</w:t>
      </w:r>
      <w:r w:rsidRPr="00E54204">
        <w:rPr>
          <w:szCs w:val="20"/>
        </w:rPr>
        <w:t xml:space="preserve"> a few rulings of Bet Shammai</w:t>
      </w:r>
      <w:r w:rsidR="00D0599D" w:rsidRPr="00E54204">
        <w:rPr>
          <w:szCs w:val="20"/>
        </w:rPr>
        <w:t xml:space="preserve"> to stand</w:t>
      </w:r>
      <w:r w:rsidRPr="00E54204">
        <w:rPr>
          <w:szCs w:val="20"/>
        </w:rPr>
        <w:t>.</w:t>
      </w:r>
      <w:r w:rsidRPr="00E54204">
        <w:rPr>
          <w:szCs w:val="20"/>
          <w:vertAlign w:val="superscript"/>
        </w:rPr>
        <w:footnoteReference w:id="398"/>
      </w:r>
      <w:r w:rsidRPr="00E54204">
        <w:rPr>
          <w:szCs w:val="20"/>
        </w:rPr>
        <w:t xml:space="preserve">  Moreover, there are cases where the superiority of Bet Hillel is ignored by the sages, which here includes the </w:t>
      </w:r>
      <w:r w:rsidRPr="00E54204">
        <w:rPr>
          <w:i/>
          <w:szCs w:val="20"/>
        </w:rPr>
        <w:t>bat kol</w:t>
      </w:r>
      <w:r w:rsidRPr="00E54204">
        <w:rPr>
          <w:szCs w:val="20"/>
        </w:rPr>
        <w:t xml:space="preserve">.  In M. </w:t>
      </w:r>
      <w:r w:rsidRPr="00E54204">
        <w:rPr>
          <w:i/>
          <w:szCs w:val="20"/>
        </w:rPr>
        <w:t xml:space="preserve">Bava Metzia </w:t>
      </w:r>
      <w:r w:rsidRPr="00E54204">
        <w:rPr>
          <w:szCs w:val="20"/>
        </w:rPr>
        <w:t xml:space="preserve">3:12, R. Akiva upholds an opinion contrary to both Hillel and Shammai, in so doing disregarding the </w:t>
      </w:r>
      <w:r w:rsidRPr="00E54204">
        <w:rPr>
          <w:i/>
          <w:szCs w:val="20"/>
        </w:rPr>
        <w:t>bat kol</w:t>
      </w:r>
      <w:r w:rsidRPr="00E54204">
        <w:rPr>
          <w:szCs w:val="20"/>
        </w:rPr>
        <w:t xml:space="preserve">.  Later </w:t>
      </w:r>
      <w:r w:rsidRPr="00E54204">
        <w:rPr>
          <w:i/>
          <w:szCs w:val="20"/>
        </w:rPr>
        <w:t>Amoraim</w:t>
      </w:r>
      <w:r w:rsidRPr="00E54204">
        <w:rPr>
          <w:szCs w:val="20"/>
        </w:rPr>
        <w:t xml:space="preserve">, Samuel and R. Yohanan endorse R. Akiva’s </w:t>
      </w:r>
      <w:r w:rsidR="00EF69C7" w:rsidRPr="00E54204">
        <w:rPr>
          <w:i/>
          <w:szCs w:val="20"/>
        </w:rPr>
        <w:t>Halac</w:t>
      </w:r>
      <w:r w:rsidRPr="00E54204">
        <w:rPr>
          <w:i/>
          <w:szCs w:val="20"/>
        </w:rPr>
        <w:t>ha</w:t>
      </w:r>
      <w:r w:rsidRPr="00E54204">
        <w:rPr>
          <w:szCs w:val="20"/>
        </w:rPr>
        <w:t>, following R. Akiva’s precedent.</w:t>
      </w:r>
      <w:r w:rsidRPr="00E54204">
        <w:rPr>
          <w:szCs w:val="20"/>
          <w:vertAlign w:val="superscript"/>
        </w:rPr>
        <w:footnoteReference w:id="399"/>
      </w:r>
      <w:r w:rsidRPr="00E54204">
        <w:rPr>
          <w:szCs w:val="20"/>
        </w:rPr>
        <w:t xml:space="preserve">  Other notable sages like Rabban Gamaliel II</w:t>
      </w:r>
      <w:r w:rsidRPr="00E54204">
        <w:rPr>
          <w:szCs w:val="20"/>
          <w:vertAlign w:val="superscript"/>
        </w:rPr>
        <w:footnoteReference w:id="400"/>
      </w:r>
      <w:r w:rsidRPr="00E54204">
        <w:rPr>
          <w:szCs w:val="20"/>
        </w:rPr>
        <w:t xml:space="preserve"> and R. Eliezer b. Hyrcanus, occasionally also supported Shammaitic views.  </w:t>
      </w:r>
    </w:p>
    <w:p w14:paraId="73F54B8C" w14:textId="77777777" w:rsidR="00ED18D8" w:rsidRPr="00E54204" w:rsidRDefault="00ED18D8" w:rsidP="00ED18D8">
      <w:pPr>
        <w:spacing w:after="160"/>
        <w:ind w:firstLine="720"/>
        <w:rPr>
          <w:i/>
          <w:szCs w:val="20"/>
        </w:rPr>
      </w:pPr>
      <w:r w:rsidRPr="00E54204">
        <w:rPr>
          <w:szCs w:val="20"/>
        </w:rPr>
        <w:t xml:space="preserve">Thus, the change in </w:t>
      </w:r>
      <w:r w:rsidR="00EF69C7" w:rsidRPr="00E54204">
        <w:rPr>
          <w:i/>
          <w:szCs w:val="20"/>
        </w:rPr>
        <w:t>Halac</w:t>
      </w:r>
      <w:r w:rsidRPr="00E54204">
        <w:rPr>
          <w:i/>
          <w:szCs w:val="20"/>
        </w:rPr>
        <w:t xml:space="preserve">ha </w:t>
      </w:r>
      <w:r w:rsidRPr="00E54204">
        <w:rPr>
          <w:szCs w:val="20"/>
        </w:rPr>
        <w:t>is actually verbalized via the sages and not “the voice” despite its importance in marking a transition.  Hence, we read there was no technical legal basis for the decision; it was not because one school possessed more legal acumen than the other; rather, it was on the basis of</w:t>
      </w:r>
      <w:r w:rsidR="00571B99" w:rsidRPr="00E54204">
        <w:rPr>
          <w:szCs w:val="20"/>
        </w:rPr>
        <w:t xml:space="preserve"> their character </w:t>
      </w:r>
      <w:r w:rsidRPr="00E54204">
        <w:rPr>
          <w:szCs w:val="20"/>
        </w:rPr>
        <w:t xml:space="preserve">for which they were favored.  This story dovetails with the previously </w:t>
      </w:r>
      <w:r w:rsidR="00DA678C" w:rsidRPr="00E54204">
        <w:rPr>
          <w:szCs w:val="20"/>
        </w:rPr>
        <w:t>re</w:t>
      </w:r>
      <w:r w:rsidRPr="00E54204">
        <w:rPr>
          <w:szCs w:val="20"/>
        </w:rPr>
        <w:t xml:space="preserve">viewed story of the </w:t>
      </w:r>
      <w:r w:rsidRPr="00E54204">
        <w:rPr>
          <w:i/>
          <w:szCs w:val="20"/>
        </w:rPr>
        <w:t>bat kol</w:t>
      </w:r>
      <w:r w:rsidRPr="00E54204">
        <w:rPr>
          <w:szCs w:val="20"/>
        </w:rPr>
        <w:t xml:space="preserve"> identifying Hillel as a worthy recipient of the divine presence.</w:t>
      </w:r>
      <w:r w:rsidRPr="00E54204">
        <w:rPr>
          <w:szCs w:val="20"/>
          <w:vertAlign w:val="superscript"/>
        </w:rPr>
        <w:footnoteReference w:id="401"/>
      </w:r>
      <w:r w:rsidRPr="00E54204">
        <w:rPr>
          <w:szCs w:val="20"/>
        </w:rPr>
        <w:t xml:space="preserve">  Further on in the text we read, “[This story is] to teach you that whoever degrades himself, Hashem raises him, and whoever raises himself, Hashem degrades him.”</w:t>
      </w:r>
      <w:r w:rsidRPr="00E54204">
        <w:rPr>
          <w:szCs w:val="20"/>
          <w:vertAlign w:val="superscript"/>
        </w:rPr>
        <w:footnoteReference w:id="402"/>
      </w:r>
      <w:r w:rsidRPr="00E54204">
        <w:rPr>
          <w:szCs w:val="20"/>
        </w:rPr>
        <w:t xml:space="preserve">  A moral teaching is elucidated, namely that exalting oneself will cause one to be humbled and humbling oneself will cause one to be exalted.  Not surprisingly then, the stalemate between the schools of Shammai and Hillel is alluded to in five other stories in the Bavli, in which each narrative displays the divergent views of Hillel and Shammai on any given legal matter.</w:t>
      </w:r>
      <w:r w:rsidRPr="00E54204">
        <w:rPr>
          <w:szCs w:val="20"/>
          <w:vertAlign w:val="superscript"/>
        </w:rPr>
        <w:footnoteReference w:id="403"/>
      </w:r>
      <w:r w:rsidRPr="00E54204">
        <w:rPr>
          <w:szCs w:val="20"/>
        </w:rPr>
        <w:t xml:space="preserve"> </w:t>
      </w:r>
    </w:p>
    <w:p w14:paraId="24604168" w14:textId="77777777" w:rsidR="00ED18D8" w:rsidRPr="00E54204" w:rsidRDefault="00ED18D8" w:rsidP="00ED18D8">
      <w:pPr>
        <w:spacing w:after="160"/>
        <w:ind w:firstLine="720"/>
        <w:rPr>
          <w:szCs w:val="20"/>
        </w:rPr>
      </w:pPr>
      <w:r w:rsidRPr="00E54204">
        <w:rPr>
          <w:szCs w:val="20"/>
        </w:rPr>
        <w:t xml:space="preserve">Such an example is found in B. </w:t>
      </w:r>
      <w:r w:rsidR="000F7590" w:rsidRPr="00E54204">
        <w:rPr>
          <w:i/>
          <w:szCs w:val="20"/>
        </w:rPr>
        <w:t>Berach</w:t>
      </w:r>
      <w:r w:rsidRPr="00E54204">
        <w:rPr>
          <w:i/>
          <w:szCs w:val="20"/>
        </w:rPr>
        <w:t>ot</w:t>
      </w:r>
      <w:r w:rsidRPr="00E54204">
        <w:rPr>
          <w:szCs w:val="20"/>
        </w:rPr>
        <w:t xml:space="preserve"> 51b, where the writers record a debate over what comes first, the blessing over the day or the blessing over the wine?  Shammai is of the opinion that one should pronounce the blessing over the day first, and then the wine, because the day causes the wine to be brought.  While the narrator provides the reasoning for each side, the narrator twice states, “The </w:t>
      </w:r>
      <w:r w:rsidR="00EF69C7" w:rsidRPr="00E54204">
        <w:rPr>
          <w:i/>
          <w:szCs w:val="20"/>
        </w:rPr>
        <w:t>Halac</w:t>
      </w:r>
      <w:r w:rsidRPr="00E54204">
        <w:rPr>
          <w:i/>
          <w:szCs w:val="20"/>
        </w:rPr>
        <w:t>ha</w:t>
      </w:r>
      <w:r w:rsidRPr="00E54204">
        <w:rPr>
          <w:szCs w:val="20"/>
        </w:rPr>
        <w:t xml:space="preserve"> is according to the word of Hillel.”  Besides providing the supporting arguments the narrator further corroborates this fact by recalling that the </w:t>
      </w:r>
      <w:r w:rsidRPr="00E54204">
        <w:rPr>
          <w:i/>
          <w:szCs w:val="20"/>
        </w:rPr>
        <w:t>bat kol</w:t>
      </w:r>
      <w:r w:rsidRPr="00E54204">
        <w:rPr>
          <w:szCs w:val="20"/>
        </w:rPr>
        <w:t xml:space="preserve"> sanctioned Hillel’s </w:t>
      </w:r>
      <w:r w:rsidR="00EF69C7" w:rsidRPr="00E54204">
        <w:rPr>
          <w:i/>
          <w:szCs w:val="20"/>
        </w:rPr>
        <w:t>Halac</w:t>
      </w:r>
      <w:r w:rsidRPr="00E54204">
        <w:rPr>
          <w:i/>
          <w:szCs w:val="20"/>
        </w:rPr>
        <w:t>ha</w:t>
      </w:r>
      <w:r w:rsidRPr="00E54204">
        <w:rPr>
          <w:szCs w:val="20"/>
        </w:rPr>
        <w:t xml:space="preserve">.  Nevertheless, the author cunningly admits that he can say this statement was made prior to the advent of the </w:t>
      </w:r>
      <w:r w:rsidRPr="00E54204">
        <w:rPr>
          <w:i/>
          <w:szCs w:val="20"/>
        </w:rPr>
        <w:t>bat kol</w:t>
      </w:r>
      <w:r w:rsidRPr="00E54204">
        <w:rPr>
          <w:szCs w:val="20"/>
        </w:rPr>
        <w:t xml:space="preserve">, implying that the sages had already decided the matter or he could say that it was made after the voice from heaven ratified Hillel’s rulings, thus appearing to lend some </w:t>
      </w:r>
      <w:r w:rsidR="004B512C" w:rsidRPr="00E54204">
        <w:rPr>
          <w:i/>
          <w:szCs w:val="20"/>
        </w:rPr>
        <w:t>Halac</w:t>
      </w:r>
      <w:r w:rsidRPr="00E54204">
        <w:rPr>
          <w:i/>
          <w:szCs w:val="20"/>
        </w:rPr>
        <w:t xml:space="preserve">hic </w:t>
      </w:r>
      <w:r w:rsidRPr="00E54204">
        <w:rPr>
          <w:szCs w:val="20"/>
        </w:rPr>
        <w:t xml:space="preserve">credence to the </w:t>
      </w:r>
      <w:r w:rsidRPr="00E54204">
        <w:rPr>
          <w:i/>
          <w:szCs w:val="20"/>
        </w:rPr>
        <w:t>bat kol</w:t>
      </w:r>
      <w:r w:rsidRPr="00E54204">
        <w:rPr>
          <w:szCs w:val="20"/>
        </w:rPr>
        <w:t>.</w:t>
      </w:r>
    </w:p>
    <w:p w14:paraId="1BB9FCE3" w14:textId="77777777" w:rsidR="00ED18D8" w:rsidRPr="00E54204" w:rsidRDefault="00ED18D8" w:rsidP="00ED18D8">
      <w:pPr>
        <w:spacing w:after="160"/>
        <w:ind w:firstLine="720"/>
        <w:rPr>
          <w:szCs w:val="20"/>
        </w:rPr>
      </w:pPr>
      <w:r w:rsidRPr="00E54204">
        <w:rPr>
          <w:szCs w:val="20"/>
        </w:rPr>
        <w:t xml:space="preserve">Interestingly enough there was debate over whether or not to allow a woman to remarry on the basis of a </w:t>
      </w:r>
      <w:r w:rsidRPr="00E54204">
        <w:rPr>
          <w:i/>
          <w:szCs w:val="20"/>
        </w:rPr>
        <w:t>bat kol</w:t>
      </w:r>
      <w:r w:rsidRPr="00E54204">
        <w:rPr>
          <w:szCs w:val="20"/>
        </w:rPr>
        <w:t xml:space="preserve">.  In M. </w:t>
      </w:r>
      <w:r w:rsidRPr="00E54204">
        <w:rPr>
          <w:i/>
          <w:szCs w:val="20"/>
        </w:rPr>
        <w:t xml:space="preserve">Yevamot </w:t>
      </w:r>
      <w:r w:rsidRPr="00E54204">
        <w:rPr>
          <w:szCs w:val="20"/>
        </w:rPr>
        <w:t xml:space="preserve">16:6 it is said if it is heard that a woman’s husband has died yet the person who voiced such information is not found, the testimony remains valid.  According to B. </w:t>
      </w:r>
      <w:r w:rsidRPr="00E54204">
        <w:rPr>
          <w:i/>
          <w:szCs w:val="20"/>
        </w:rPr>
        <w:t xml:space="preserve">Yevamot </w:t>
      </w:r>
      <w:r w:rsidRPr="00E54204">
        <w:rPr>
          <w:szCs w:val="20"/>
        </w:rPr>
        <w:t>122a, Rabbath son of Shmuel said it was taught in a Baraita that they do not permit a woman to remarry on the basis of a heavenly voice.  However the house of Hillel says that they do permit a woman to remarry on the testimony of a “heavenly voice.”</w:t>
      </w:r>
    </w:p>
    <w:p w14:paraId="49275C97" w14:textId="77777777" w:rsidR="00ED18D8" w:rsidRPr="00E54204" w:rsidRDefault="00ED18D8" w:rsidP="00ED18D8">
      <w:pPr>
        <w:spacing w:after="160"/>
        <w:ind w:firstLine="720"/>
        <w:rPr>
          <w:szCs w:val="20"/>
        </w:rPr>
      </w:pPr>
      <w:r w:rsidRPr="00E54204">
        <w:rPr>
          <w:szCs w:val="20"/>
        </w:rPr>
        <w:t xml:space="preserve">In conclusion, the </w:t>
      </w:r>
      <w:r w:rsidRPr="00E54204">
        <w:rPr>
          <w:i/>
          <w:szCs w:val="20"/>
        </w:rPr>
        <w:t xml:space="preserve">bat kol </w:t>
      </w:r>
      <w:r w:rsidRPr="00E54204">
        <w:rPr>
          <w:szCs w:val="20"/>
        </w:rPr>
        <w:t xml:space="preserve">played a precarious role in terms of </w:t>
      </w:r>
      <w:r w:rsidR="00EF69C7" w:rsidRPr="00E54204">
        <w:rPr>
          <w:i/>
          <w:szCs w:val="20"/>
        </w:rPr>
        <w:t>Halac</w:t>
      </w:r>
      <w:r w:rsidRPr="00E54204">
        <w:rPr>
          <w:i/>
          <w:szCs w:val="20"/>
        </w:rPr>
        <w:t>ha</w:t>
      </w:r>
      <w:r w:rsidRPr="00E54204">
        <w:rPr>
          <w:szCs w:val="20"/>
        </w:rPr>
        <w:t xml:space="preserve">.  In one famous legal debate it was acknowledged as influential; though to what degree remains ambiguous.  The </w:t>
      </w:r>
      <w:r w:rsidR="00EF69C7" w:rsidRPr="00E54204">
        <w:rPr>
          <w:i/>
          <w:szCs w:val="20"/>
        </w:rPr>
        <w:t>Halac</w:t>
      </w:r>
      <w:r w:rsidRPr="00E54204">
        <w:rPr>
          <w:i/>
          <w:szCs w:val="20"/>
        </w:rPr>
        <w:t xml:space="preserve">ha </w:t>
      </w:r>
      <w:r w:rsidRPr="00E54204">
        <w:rPr>
          <w:szCs w:val="20"/>
        </w:rPr>
        <w:t xml:space="preserve">did generally follow the school of Hillel.  The </w:t>
      </w:r>
      <w:r w:rsidR="00EF69C7" w:rsidRPr="00E54204">
        <w:rPr>
          <w:i/>
          <w:szCs w:val="20"/>
        </w:rPr>
        <w:t>Halac</w:t>
      </w:r>
      <w:r w:rsidRPr="00E54204">
        <w:rPr>
          <w:i/>
          <w:szCs w:val="20"/>
        </w:rPr>
        <w:t xml:space="preserve">hic </w:t>
      </w:r>
      <w:r w:rsidRPr="00E54204">
        <w:rPr>
          <w:szCs w:val="20"/>
        </w:rPr>
        <w:t xml:space="preserve">influence and authority of the </w:t>
      </w:r>
      <w:r w:rsidRPr="00E54204">
        <w:rPr>
          <w:i/>
          <w:szCs w:val="20"/>
        </w:rPr>
        <w:t>bat kol</w:t>
      </w:r>
      <w:r w:rsidRPr="00E54204">
        <w:rPr>
          <w:szCs w:val="20"/>
        </w:rPr>
        <w:t xml:space="preserve"> did not translate to later generations, though its presence in one determinant case was alluded to repeatedly.  Reasons for this discrepancy include the fact that tension between the two schools must have dissipated after the deaths of their leaders, Shammai and Hillel, in addition to the incident of the </w:t>
      </w:r>
      <w:r w:rsidR="00433986" w:rsidRPr="00E54204">
        <w:rPr>
          <w:szCs w:val="20"/>
        </w:rPr>
        <w:t>“</w:t>
      </w:r>
      <w:r w:rsidRPr="00E54204">
        <w:rPr>
          <w:szCs w:val="20"/>
        </w:rPr>
        <w:t>oven of Aknai</w:t>
      </w:r>
      <w:r w:rsidR="00433986" w:rsidRPr="00E54204">
        <w:rPr>
          <w:szCs w:val="20"/>
        </w:rPr>
        <w:t>”</w:t>
      </w:r>
      <w:r w:rsidRPr="00E54204">
        <w:rPr>
          <w:szCs w:val="20"/>
        </w:rPr>
        <w:t xml:space="preserve"> where R. Joshua explicitly rejected the weight of a heavenly voice in legal matters.  </w:t>
      </w:r>
    </w:p>
    <w:p w14:paraId="0617FBAE" w14:textId="77777777" w:rsidR="00ED18D8" w:rsidRPr="00E54204" w:rsidRDefault="00E31B4F" w:rsidP="00ED18D8">
      <w:pPr>
        <w:spacing w:after="160"/>
        <w:rPr>
          <w:i/>
          <w:szCs w:val="20"/>
        </w:rPr>
      </w:pPr>
      <w:r w:rsidRPr="00E54204">
        <w:rPr>
          <w:szCs w:val="20"/>
        </w:rPr>
        <w:t>B.</w:t>
      </w:r>
      <w:r w:rsidRPr="00E54204">
        <w:rPr>
          <w:szCs w:val="20"/>
        </w:rPr>
        <w:tab/>
      </w:r>
      <w:r w:rsidRPr="00E54204">
        <w:rPr>
          <w:i/>
          <w:szCs w:val="20"/>
        </w:rPr>
        <w:t>Rabbinic Authority and Morality:</w:t>
      </w:r>
    </w:p>
    <w:p w14:paraId="611EE81F" w14:textId="77777777" w:rsidR="00A0187F" w:rsidRPr="00E54204" w:rsidRDefault="00ED18D8" w:rsidP="00ED18D8">
      <w:pPr>
        <w:spacing w:after="160"/>
        <w:ind w:firstLine="720"/>
        <w:rPr>
          <w:szCs w:val="20"/>
        </w:rPr>
      </w:pPr>
      <w:r w:rsidRPr="00E54204">
        <w:rPr>
          <w:szCs w:val="20"/>
        </w:rPr>
        <w:t>The Talmud r</w:t>
      </w:r>
      <w:r w:rsidR="007D7AF4" w:rsidRPr="00E54204">
        <w:rPr>
          <w:szCs w:val="20"/>
        </w:rPr>
        <w:t>ecords one special case in which</w:t>
      </w:r>
      <w:r w:rsidR="004D42A9" w:rsidRPr="00E54204">
        <w:rPr>
          <w:szCs w:val="20"/>
        </w:rPr>
        <w:t xml:space="preserve"> the heavenly voice was outright</w:t>
      </w:r>
      <w:r w:rsidRPr="00E54204">
        <w:rPr>
          <w:szCs w:val="20"/>
        </w:rPr>
        <w:t xml:space="preserve"> dismissed only later to be revealed to have been a test from God; it is the story known as the </w:t>
      </w:r>
      <w:r w:rsidR="00433986" w:rsidRPr="00E54204">
        <w:rPr>
          <w:szCs w:val="20"/>
        </w:rPr>
        <w:t>“</w:t>
      </w:r>
      <w:r w:rsidRPr="00E54204">
        <w:rPr>
          <w:szCs w:val="20"/>
        </w:rPr>
        <w:t>oven of Aknai.</w:t>
      </w:r>
      <w:r w:rsidR="00433986" w:rsidRPr="00E54204">
        <w:rPr>
          <w:szCs w:val="20"/>
        </w:rPr>
        <w:t>”</w:t>
      </w:r>
      <w:r w:rsidRPr="00E54204">
        <w:rPr>
          <w:szCs w:val="20"/>
          <w:vertAlign w:val="superscript"/>
        </w:rPr>
        <w:footnoteReference w:id="404"/>
      </w:r>
      <w:r w:rsidR="002C0CB3" w:rsidRPr="00E54204">
        <w:rPr>
          <w:szCs w:val="20"/>
        </w:rPr>
        <w:t xml:space="preserve">  The matter at hand was the ritual purity status of an oven cut into pieces and joined together by sand.  R. Eliezer ben Hyrcanus ruled it was clean (not susceptible to ritual impurity</w:t>
      </w:r>
      <w:r w:rsidR="00F91E25" w:rsidRPr="00E54204">
        <w:rPr>
          <w:szCs w:val="20"/>
        </w:rPr>
        <w:t xml:space="preserve"> because it was not a single utensil</w:t>
      </w:r>
      <w:r w:rsidR="002C0CB3" w:rsidRPr="00E54204">
        <w:rPr>
          <w:szCs w:val="20"/>
        </w:rPr>
        <w:t>) while the other sages deemed it unclean (susceptible</w:t>
      </w:r>
      <w:r w:rsidR="00F91E25" w:rsidRPr="00E54204">
        <w:rPr>
          <w:szCs w:val="20"/>
        </w:rPr>
        <w:t>)</w:t>
      </w:r>
      <w:r w:rsidR="002C0CB3" w:rsidRPr="00E54204">
        <w:rPr>
          <w:szCs w:val="20"/>
        </w:rPr>
        <w:t xml:space="preserve"> and as a result to be destroyed upon contracting the status of impu</w:t>
      </w:r>
      <w:r w:rsidR="00F91E25" w:rsidRPr="00E54204">
        <w:rPr>
          <w:szCs w:val="20"/>
        </w:rPr>
        <w:t xml:space="preserve">re.  </w:t>
      </w:r>
      <w:r w:rsidR="007D7AF4" w:rsidRPr="00E54204">
        <w:rPr>
          <w:szCs w:val="20"/>
        </w:rPr>
        <w:t>R. Joshua</w:t>
      </w:r>
      <w:r w:rsidRPr="00E54204">
        <w:rPr>
          <w:szCs w:val="20"/>
        </w:rPr>
        <w:t xml:space="preserve">’s dismissal of the </w:t>
      </w:r>
      <w:r w:rsidRPr="00E54204">
        <w:rPr>
          <w:i/>
          <w:szCs w:val="20"/>
        </w:rPr>
        <w:t>bat kol</w:t>
      </w:r>
      <w:r w:rsidRPr="00E54204">
        <w:rPr>
          <w:szCs w:val="20"/>
        </w:rPr>
        <w:t xml:space="preserve"> in legal matters is referenced in several places in the Bavli.</w:t>
      </w:r>
      <w:r w:rsidRPr="00E54204">
        <w:rPr>
          <w:szCs w:val="20"/>
          <w:vertAlign w:val="superscript"/>
        </w:rPr>
        <w:footnoteReference w:id="405"/>
      </w:r>
      <w:r w:rsidR="003C5665" w:rsidRPr="00E54204">
        <w:rPr>
          <w:szCs w:val="20"/>
        </w:rPr>
        <w:t xml:space="preserve">  Both h</w:t>
      </w:r>
      <w:r w:rsidRPr="00E54204">
        <w:rPr>
          <w:szCs w:val="20"/>
        </w:rPr>
        <w:t>e and R. E</w:t>
      </w:r>
      <w:r w:rsidR="00EF1898" w:rsidRPr="00E54204">
        <w:rPr>
          <w:szCs w:val="20"/>
        </w:rPr>
        <w:t>liezer b. Hyrcanus, both second-</w:t>
      </w:r>
      <w:r w:rsidRPr="00E54204">
        <w:rPr>
          <w:szCs w:val="20"/>
        </w:rPr>
        <w:t xml:space="preserve">generation </w:t>
      </w:r>
      <w:r w:rsidRPr="00E54204">
        <w:rPr>
          <w:i/>
          <w:szCs w:val="20"/>
        </w:rPr>
        <w:t>Tannaim</w:t>
      </w:r>
      <w:r w:rsidRPr="00E54204">
        <w:rPr>
          <w:szCs w:val="20"/>
        </w:rPr>
        <w:t xml:space="preserve"> (ca.90-130 CE), are debate partners of sorts, disagreeing over the interpretations of the </w:t>
      </w:r>
      <w:r w:rsidR="009656DB" w:rsidRPr="00E54204">
        <w:rPr>
          <w:szCs w:val="20"/>
        </w:rPr>
        <w:t xml:space="preserve">schools of Shammai and Hillel.  </w:t>
      </w:r>
      <w:r w:rsidRPr="00E54204">
        <w:rPr>
          <w:szCs w:val="20"/>
        </w:rPr>
        <w:t>This is a famous affair that has elicited extensive commentary and interpretation.</w:t>
      </w:r>
      <w:r w:rsidRPr="00E54204">
        <w:rPr>
          <w:szCs w:val="20"/>
          <w:vertAlign w:val="superscript"/>
        </w:rPr>
        <w:footnoteReference w:id="406"/>
      </w:r>
      <w:r w:rsidRPr="00E54204">
        <w:rPr>
          <w:szCs w:val="20"/>
        </w:rPr>
        <w:t xml:space="preserve">  In this story, the heavenly voice responds to R. Eliezer b. Hyrcanus’ defense</w:t>
      </w:r>
      <w:r w:rsidR="003C5665" w:rsidRPr="00E54204">
        <w:rPr>
          <w:szCs w:val="20"/>
        </w:rPr>
        <w:t xml:space="preserve"> in seeking to persuade his colleagues that an oven cut into several pieces was not susceptible to ritual impurity; the sages refused to adopt his view</w:t>
      </w:r>
      <w:r w:rsidR="002416EA" w:rsidRPr="00E54204">
        <w:rPr>
          <w:szCs w:val="20"/>
        </w:rPr>
        <w:t>, the reason is not provided.</w:t>
      </w:r>
      <w:r w:rsidRPr="00E54204">
        <w:rPr>
          <w:szCs w:val="20"/>
          <w:vertAlign w:val="superscript"/>
        </w:rPr>
        <w:footnoteReference w:id="407"/>
      </w:r>
      <w:r w:rsidRPr="00E54204">
        <w:rPr>
          <w:szCs w:val="20"/>
        </w:rPr>
        <w:t xml:space="preserve">  Rather, Scriptu</w:t>
      </w:r>
      <w:r w:rsidR="003C5665" w:rsidRPr="00E54204">
        <w:rPr>
          <w:szCs w:val="20"/>
        </w:rPr>
        <w:t>ral justifications were put forth</w:t>
      </w:r>
      <w:r w:rsidR="00F9525B" w:rsidRPr="00E54204">
        <w:rPr>
          <w:szCs w:val="20"/>
        </w:rPr>
        <w:t xml:space="preserve"> by the sages</w:t>
      </w:r>
      <w:r w:rsidRPr="00E54204">
        <w:rPr>
          <w:szCs w:val="20"/>
        </w:rPr>
        <w:t xml:space="preserve"> to prove </w:t>
      </w:r>
      <w:r w:rsidR="002416EA" w:rsidRPr="00E54204">
        <w:rPr>
          <w:szCs w:val="20"/>
        </w:rPr>
        <w:t xml:space="preserve">to God </w:t>
      </w:r>
      <w:r w:rsidRPr="00E54204">
        <w:rPr>
          <w:szCs w:val="20"/>
        </w:rPr>
        <w:t>that</w:t>
      </w:r>
      <w:r w:rsidR="002416EA" w:rsidRPr="00E54204">
        <w:rPr>
          <w:szCs w:val="20"/>
        </w:rPr>
        <w:t xml:space="preserve"> He</w:t>
      </w:r>
      <w:r w:rsidR="003C5665" w:rsidRPr="00E54204">
        <w:rPr>
          <w:szCs w:val="20"/>
        </w:rPr>
        <w:t xml:space="preserve"> </w:t>
      </w:r>
      <w:r w:rsidRPr="00E54204">
        <w:rPr>
          <w:szCs w:val="20"/>
        </w:rPr>
        <w:t>was beyond His ju</w:t>
      </w:r>
      <w:r w:rsidR="00F9525B" w:rsidRPr="00E54204">
        <w:rPr>
          <w:szCs w:val="20"/>
        </w:rPr>
        <w:t>risdiction in intervening in this</w:t>
      </w:r>
      <w:r w:rsidR="003C5665" w:rsidRPr="00E54204">
        <w:rPr>
          <w:szCs w:val="20"/>
        </w:rPr>
        <w:t xml:space="preserve"> matter of </w:t>
      </w:r>
      <w:r w:rsidR="003C5665" w:rsidRPr="00E54204">
        <w:rPr>
          <w:i/>
          <w:szCs w:val="20"/>
        </w:rPr>
        <w:t>Halacha</w:t>
      </w:r>
      <w:r w:rsidR="00F9525B" w:rsidRPr="00E54204">
        <w:rPr>
          <w:szCs w:val="20"/>
        </w:rPr>
        <w:t>,</w:t>
      </w:r>
      <w:r w:rsidR="002416EA" w:rsidRPr="00E54204">
        <w:rPr>
          <w:szCs w:val="20"/>
        </w:rPr>
        <w:t xml:space="preserve"> since the rabbis argued that such authority had been given by God to them back at Sinai</w:t>
      </w:r>
      <w:r w:rsidRPr="00E54204">
        <w:rPr>
          <w:szCs w:val="20"/>
        </w:rPr>
        <w:t>.</w:t>
      </w:r>
      <w:r w:rsidR="003C5665" w:rsidRPr="00E54204">
        <w:rPr>
          <w:rStyle w:val="FootnoteReference"/>
          <w:szCs w:val="20"/>
        </w:rPr>
        <w:footnoteReference w:id="408"/>
      </w:r>
      <w:r w:rsidR="00A0187F" w:rsidRPr="00E54204">
        <w:rPr>
          <w:szCs w:val="20"/>
        </w:rPr>
        <w:t xml:space="preserve">  </w:t>
      </w:r>
    </w:p>
    <w:p w14:paraId="79BBEA04" w14:textId="77777777" w:rsidR="00ED18D8" w:rsidRPr="00E54204" w:rsidRDefault="00ED18D8" w:rsidP="00C80A0F">
      <w:pPr>
        <w:ind w:firstLine="720"/>
        <w:rPr>
          <w:szCs w:val="20"/>
        </w:rPr>
      </w:pPr>
      <w:r w:rsidRPr="00E54204">
        <w:rPr>
          <w:szCs w:val="20"/>
        </w:rPr>
        <w:t>Jeffrey Rubenstein draws a logical connection between the Mishnaic teaching that precedes the story in order to comprehend what the story is really about.</w:t>
      </w:r>
      <w:r w:rsidRPr="00E54204">
        <w:rPr>
          <w:szCs w:val="20"/>
          <w:vertAlign w:val="superscript"/>
        </w:rPr>
        <w:footnoteReference w:id="409"/>
      </w:r>
      <w:r w:rsidRPr="00E54204">
        <w:rPr>
          <w:szCs w:val="20"/>
        </w:rPr>
        <w:t xml:space="preserve">  That text reads:</w:t>
      </w:r>
    </w:p>
    <w:p w14:paraId="390D85DA" w14:textId="77777777" w:rsidR="00ED18D8" w:rsidRPr="00E54204" w:rsidRDefault="00ED18D8" w:rsidP="00ED18D8">
      <w:pPr>
        <w:spacing w:after="160" w:line="240" w:lineRule="auto"/>
        <w:rPr>
          <w:szCs w:val="20"/>
        </w:rPr>
      </w:pPr>
      <w:r w:rsidRPr="00E54204">
        <w:rPr>
          <w:szCs w:val="20"/>
        </w:rPr>
        <w:t xml:space="preserve">Just as there is wronging in business, so there is wronging in words.  One should not say to him, ‘How much is this object?’ when he does not plan to buy it.  If he was a penitent, one should not say to him, ‘Remember your former deeds!’  If he descended from proselytes, one should not say to him, ‘Remember the deeds of your forefathers,’ as it is written, </w:t>
      </w:r>
      <w:r w:rsidRPr="00E54204">
        <w:rPr>
          <w:i/>
          <w:szCs w:val="20"/>
        </w:rPr>
        <w:t>Do not wrong or oppress the proselyte</w:t>
      </w:r>
      <w:r w:rsidRPr="00E54204">
        <w:rPr>
          <w:szCs w:val="20"/>
        </w:rPr>
        <w:t xml:space="preserve"> [Exodus 22:20].</w:t>
      </w:r>
      <w:r w:rsidRPr="00E54204">
        <w:rPr>
          <w:szCs w:val="20"/>
          <w:vertAlign w:val="superscript"/>
        </w:rPr>
        <w:footnoteReference w:id="410"/>
      </w:r>
      <w:r w:rsidRPr="00E54204">
        <w:rPr>
          <w:szCs w:val="20"/>
        </w:rPr>
        <w:t xml:space="preserve">  </w:t>
      </w:r>
    </w:p>
    <w:p w14:paraId="56D4D356" w14:textId="77777777" w:rsidR="00ED18D8" w:rsidRPr="00E54204" w:rsidRDefault="00ED18D8" w:rsidP="00ED18D8">
      <w:pPr>
        <w:spacing w:after="160"/>
        <w:rPr>
          <w:szCs w:val="20"/>
        </w:rPr>
      </w:pPr>
      <w:r w:rsidRPr="00E54204">
        <w:rPr>
          <w:szCs w:val="20"/>
        </w:rPr>
        <w:t xml:space="preserve">Rubenstein comments, “These </w:t>
      </w:r>
      <w:r w:rsidR="004B512C" w:rsidRPr="00E54204">
        <w:rPr>
          <w:i/>
          <w:szCs w:val="20"/>
        </w:rPr>
        <w:t>Halac</w:t>
      </w:r>
      <w:r w:rsidRPr="00E54204">
        <w:rPr>
          <w:i/>
          <w:szCs w:val="20"/>
        </w:rPr>
        <w:t xml:space="preserve">hic </w:t>
      </w:r>
      <w:r w:rsidRPr="00E54204">
        <w:rPr>
          <w:szCs w:val="20"/>
        </w:rPr>
        <w:t>and literary contexts, especially in relation to the final line of the story,</w:t>
      </w:r>
      <w:r w:rsidRPr="00E54204">
        <w:rPr>
          <w:szCs w:val="20"/>
          <w:vertAlign w:val="superscript"/>
        </w:rPr>
        <w:footnoteReference w:id="411"/>
      </w:r>
      <w:r w:rsidRPr="00E54204">
        <w:rPr>
          <w:szCs w:val="20"/>
        </w:rPr>
        <w:t xml:space="preserve"> suggest that the story’s meaning must be relat</w:t>
      </w:r>
      <w:r w:rsidR="00267A8E" w:rsidRPr="00E54204">
        <w:rPr>
          <w:szCs w:val="20"/>
        </w:rPr>
        <w:t>ed to verbal wronging and shaming</w:t>
      </w:r>
      <w:r w:rsidR="00117E18" w:rsidRPr="00E54204">
        <w:rPr>
          <w:szCs w:val="20"/>
        </w:rPr>
        <w:t xml:space="preserve"> in general.</w:t>
      </w:r>
      <w:r w:rsidRPr="00E54204">
        <w:rPr>
          <w:szCs w:val="20"/>
        </w:rPr>
        <w:t>”</w:t>
      </w:r>
      <w:r w:rsidRPr="00E54204">
        <w:rPr>
          <w:szCs w:val="20"/>
          <w:vertAlign w:val="superscript"/>
        </w:rPr>
        <w:footnoteReference w:id="412"/>
      </w:r>
      <w:r w:rsidRPr="00E54204">
        <w:rPr>
          <w:szCs w:val="20"/>
        </w:rPr>
        <w:t xml:space="preserve">  Indeed the overarching point of the story may be that verbal wronging and shame are unjustifiable, as evidenced by the comments both at the beginning</w:t>
      </w:r>
      <w:r w:rsidR="00117E18" w:rsidRPr="00E54204">
        <w:rPr>
          <w:szCs w:val="20"/>
        </w:rPr>
        <w:t>, in the instruction to avoid wronging others in b</w:t>
      </w:r>
      <w:r w:rsidR="00267A8E" w:rsidRPr="00E54204">
        <w:rPr>
          <w:szCs w:val="20"/>
        </w:rPr>
        <w:t xml:space="preserve">usiness, and Imma Shalom’s </w:t>
      </w:r>
      <w:r w:rsidR="00117E18" w:rsidRPr="00E54204">
        <w:rPr>
          <w:szCs w:val="20"/>
        </w:rPr>
        <w:t>(R. Eliezer’s wife)</w:t>
      </w:r>
      <w:r w:rsidR="00267A8E" w:rsidRPr="00E54204">
        <w:rPr>
          <w:szCs w:val="20"/>
        </w:rPr>
        <w:t xml:space="preserve"> words</w:t>
      </w:r>
      <w:r w:rsidR="00117E18" w:rsidRPr="00E54204">
        <w:rPr>
          <w:szCs w:val="20"/>
        </w:rPr>
        <w:t xml:space="preserve"> at the end of the story stating that all gates are closed except for those of wronging.</w:t>
      </w:r>
    </w:p>
    <w:p w14:paraId="3DBC6D99" w14:textId="77777777" w:rsidR="00ED18D8" w:rsidRPr="00E54204" w:rsidRDefault="00ED18D8" w:rsidP="00B85C14">
      <w:pPr>
        <w:ind w:firstLine="720"/>
        <w:rPr>
          <w:szCs w:val="20"/>
        </w:rPr>
      </w:pPr>
      <w:r w:rsidRPr="00E54204">
        <w:rPr>
          <w:szCs w:val="20"/>
        </w:rPr>
        <w:t>Rab Juda</w:t>
      </w:r>
      <w:r w:rsidR="00433986" w:rsidRPr="00E54204">
        <w:rPr>
          <w:szCs w:val="20"/>
        </w:rPr>
        <w:t>h begins retelling the narrative of the “oven of Aknai”</w:t>
      </w:r>
      <w:r w:rsidRPr="00E54204">
        <w:rPr>
          <w:szCs w:val="20"/>
        </w:rPr>
        <w:t xml:space="preserve">; he is often depicted in the Bavli as articulating stories of the </w:t>
      </w:r>
      <w:r w:rsidRPr="00E54204">
        <w:rPr>
          <w:i/>
          <w:szCs w:val="20"/>
        </w:rPr>
        <w:t>bat kol</w:t>
      </w:r>
      <w:r w:rsidRPr="00E54204">
        <w:rPr>
          <w:szCs w:val="20"/>
        </w:rPr>
        <w:t>, in the name of one of his two teachers; Rav or Shmuel.</w:t>
      </w:r>
      <w:r w:rsidRPr="00E54204">
        <w:rPr>
          <w:szCs w:val="20"/>
          <w:vertAlign w:val="superscript"/>
        </w:rPr>
        <w:footnoteReference w:id="413"/>
      </w:r>
      <w:r w:rsidRPr="00E54204">
        <w:rPr>
          <w:szCs w:val="20"/>
        </w:rPr>
        <w:t xml:space="preserve">  However, as pointed out by Catherine Hezser this should not be misconstrued as historiographical.</w:t>
      </w:r>
      <w:r w:rsidR="007078A1" w:rsidRPr="00E54204">
        <w:rPr>
          <w:rStyle w:val="FootnoteReference"/>
          <w:szCs w:val="20"/>
        </w:rPr>
        <w:footnoteReference w:id="414"/>
      </w:r>
      <w:r w:rsidRPr="00E54204">
        <w:rPr>
          <w:szCs w:val="20"/>
        </w:rPr>
        <w:t xml:space="preserve">  That is to say ascribing authorship of the tradition to Rab Judah himself.</w:t>
      </w:r>
      <w:r w:rsidRPr="00E54204">
        <w:rPr>
          <w:szCs w:val="20"/>
          <w:vertAlign w:val="superscript"/>
        </w:rPr>
        <w:footnoteReference w:id="415"/>
      </w:r>
      <w:r w:rsidRPr="00E54204">
        <w:rPr>
          <w:szCs w:val="20"/>
        </w:rPr>
        <w:t xml:space="preserve">  The incident is also referred to in earlier sources like the Mishnah,</w:t>
      </w:r>
      <w:r w:rsidRPr="00E54204">
        <w:rPr>
          <w:szCs w:val="20"/>
          <w:vertAlign w:val="superscript"/>
        </w:rPr>
        <w:footnoteReference w:id="416"/>
      </w:r>
      <w:r w:rsidRPr="00E54204">
        <w:rPr>
          <w:szCs w:val="20"/>
        </w:rPr>
        <w:t xml:space="preserve"> Tosefta,</w:t>
      </w:r>
      <w:r w:rsidRPr="00E54204">
        <w:rPr>
          <w:szCs w:val="20"/>
          <w:vertAlign w:val="superscript"/>
        </w:rPr>
        <w:footnoteReference w:id="417"/>
      </w:r>
      <w:r w:rsidRPr="00E54204">
        <w:rPr>
          <w:szCs w:val="20"/>
        </w:rPr>
        <w:t xml:space="preserve"> and Yerushalmi.</w:t>
      </w:r>
      <w:r w:rsidRPr="00E54204">
        <w:rPr>
          <w:szCs w:val="20"/>
          <w:vertAlign w:val="superscript"/>
        </w:rPr>
        <w:footnoteReference w:id="418"/>
      </w:r>
      <w:r w:rsidRPr="00E54204">
        <w:rPr>
          <w:szCs w:val="20"/>
        </w:rPr>
        <w:t xml:space="preserve">  R. Eliezer’s unwillingness to acquiesce to the view of the majority was construed as dangerous.  This was exacerbated by his reliance on supernatural feats: a carob tree uprooting itself, water flowing backwards, walls leaning over, and ultimately a heavenly voice that enunciated:</w:t>
      </w:r>
    </w:p>
    <w:p w14:paraId="00C55AE1" w14:textId="77777777" w:rsidR="00ED18D8" w:rsidRPr="00E54204" w:rsidRDefault="00ED18D8" w:rsidP="00ED18D8">
      <w:pPr>
        <w:spacing w:after="160" w:line="240" w:lineRule="auto"/>
        <w:rPr>
          <w:szCs w:val="20"/>
        </w:rPr>
      </w:pPr>
      <w:r w:rsidRPr="00E54204">
        <w:rPr>
          <w:szCs w:val="20"/>
        </w:rPr>
        <w:t xml:space="preserve">Why are you disputing with R. Eliezer?  The </w:t>
      </w:r>
      <w:r w:rsidR="00EF69C7" w:rsidRPr="00E54204">
        <w:rPr>
          <w:i/>
          <w:szCs w:val="20"/>
        </w:rPr>
        <w:t>Halac</w:t>
      </w:r>
      <w:r w:rsidRPr="00E54204">
        <w:rPr>
          <w:i/>
          <w:szCs w:val="20"/>
        </w:rPr>
        <w:t>ha</w:t>
      </w:r>
      <w:r w:rsidRPr="00E54204">
        <w:rPr>
          <w:szCs w:val="20"/>
        </w:rPr>
        <w:t xml:space="preserve"> is in accordance with him in </w:t>
      </w:r>
      <w:r w:rsidR="007D7AF4" w:rsidRPr="00E54204">
        <w:rPr>
          <w:szCs w:val="20"/>
        </w:rPr>
        <w:t>all circumstances!  R. Yehoshua [Joshua]</w:t>
      </w:r>
      <w:r w:rsidR="00866190" w:rsidRPr="00E54204">
        <w:rPr>
          <w:szCs w:val="20"/>
        </w:rPr>
        <w:t xml:space="preserve"> </w:t>
      </w:r>
      <w:r w:rsidRPr="00E54204">
        <w:rPr>
          <w:szCs w:val="20"/>
        </w:rPr>
        <w:t xml:space="preserve">rose to his feet and quoted a portion of a verse [Deut. 30:12] saying: ‘The Torah is not in Heaven.’  R. Yirmiyah explained:  Once God already gave the Torah to the Jews on Mount Sinai, we no longer pay attention to heavenly voices that attempt to intervene in matters of </w:t>
      </w:r>
      <w:r w:rsidR="00EF69C7" w:rsidRPr="00E54204">
        <w:rPr>
          <w:i/>
          <w:szCs w:val="20"/>
        </w:rPr>
        <w:t>Halac</w:t>
      </w:r>
      <w:r w:rsidRPr="00E54204">
        <w:rPr>
          <w:i/>
          <w:szCs w:val="20"/>
        </w:rPr>
        <w:t>ha</w:t>
      </w:r>
      <w:r w:rsidRPr="00E54204">
        <w:rPr>
          <w:szCs w:val="20"/>
        </w:rPr>
        <w:t xml:space="preserve">; for You, God, already wrote in the Torah at Mount Sinai [Exodus 23:2]: ‘After the majority to incline.’  From this we learn that </w:t>
      </w:r>
      <w:r w:rsidR="00EF69C7" w:rsidRPr="00E54204">
        <w:rPr>
          <w:i/>
          <w:szCs w:val="20"/>
        </w:rPr>
        <w:t>Halac</w:t>
      </w:r>
      <w:r w:rsidRPr="00E54204">
        <w:rPr>
          <w:i/>
          <w:szCs w:val="20"/>
        </w:rPr>
        <w:t>hic</w:t>
      </w:r>
      <w:r w:rsidRPr="00E54204">
        <w:rPr>
          <w:szCs w:val="20"/>
        </w:rPr>
        <w:t xml:space="preserve"> disputes must be resolved by majority vote of the rabbis.  God could not contradict His own decisions to allow Torah questions to be decided by free debate and majority vote.</w:t>
      </w:r>
      <w:r w:rsidRPr="00E54204">
        <w:rPr>
          <w:szCs w:val="20"/>
          <w:vertAlign w:val="superscript"/>
        </w:rPr>
        <w:footnoteReference w:id="419"/>
      </w:r>
      <w:r w:rsidRPr="00E54204">
        <w:rPr>
          <w:szCs w:val="20"/>
        </w:rPr>
        <w:t xml:space="preserve">  </w:t>
      </w:r>
    </w:p>
    <w:p w14:paraId="2E3C2A7A" w14:textId="77777777" w:rsidR="00ED18D8" w:rsidRPr="00E54204" w:rsidRDefault="00ED18D8" w:rsidP="00ED18D8">
      <w:pPr>
        <w:spacing w:after="160"/>
        <w:ind w:firstLine="720"/>
        <w:rPr>
          <w:szCs w:val="20"/>
        </w:rPr>
      </w:pPr>
      <w:r w:rsidRPr="00E54204">
        <w:rPr>
          <w:szCs w:val="20"/>
        </w:rPr>
        <w:t>Interestingly enough, the passages cited are appropriated to convey a specific meaning that seems foreign to their original contexts.</w:t>
      </w:r>
      <w:r w:rsidRPr="00E54204">
        <w:rPr>
          <w:szCs w:val="20"/>
          <w:vertAlign w:val="superscript"/>
        </w:rPr>
        <w:footnoteReference w:id="420"/>
      </w:r>
      <w:r w:rsidRPr="00E54204">
        <w:rPr>
          <w:szCs w:val="20"/>
        </w:rPr>
        <w:t xml:space="preserve">  This demonstrates a kind of hermeneutical liberty employed in order to justify an argument.  The miraculous signs were viewed as illegitimate proof in what was strictly a legal debate</w:t>
      </w:r>
      <w:r w:rsidR="008216E0" w:rsidRPr="00E54204">
        <w:rPr>
          <w:szCs w:val="20"/>
        </w:rPr>
        <w:t>.  R</w:t>
      </w:r>
      <w:r w:rsidRPr="00E54204">
        <w:rPr>
          <w:szCs w:val="20"/>
        </w:rPr>
        <w:t>ather than aiding R. Eliezer’s cause, the</w:t>
      </w:r>
      <w:r w:rsidR="008216E0" w:rsidRPr="00E54204">
        <w:rPr>
          <w:szCs w:val="20"/>
        </w:rPr>
        <w:t>y precipitated his</w:t>
      </w:r>
      <w:r w:rsidRPr="00E54204">
        <w:rPr>
          <w:szCs w:val="20"/>
        </w:rPr>
        <w:t xml:space="preserve"> exit from the ranks of leadership.</w:t>
      </w:r>
      <w:r w:rsidRPr="00E54204">
        <w:rPr>
          <w:szCs w:val="20"/>
          <w:vertAlign w:val="superscript"/>
        </w:rPr>
        <w:footnoteReference w:id="421"/>
      </w:r>
      <w:r w:rsidRPr="00E54204">
        <w:rPr>
          <w:szCs w:val="20"/>
        </w:rPr>
        <w:t xml:space="preserve">  </w:t>
      </w:r>
    </w:p>
    <w:p w14:paraId="553661C3" w14:textId="77777777" w:rsidR="00FC3793" w:rsidRPr="00E54204" w:rsidRDefault="00ED18D8" w:rsidP="00ED18D8">
      <w:pPr>
        <w:spacing w:after="160"/>
        <w:ind w:firstLine="720"/>
        <w:rPr>
          <w:bCs/>
          <w:szCs w:val="20"/>
        </w:rPr>
      </w:pPr>
      <w:r w:rsidRPr="00E54204">
        <w:rPr>
          <w:szCs w:val="20"/>
        </w:rPr>
        <w:t>Alexander Guttmann notes, “</w:t>
      </w:r>
      <w:r w:rsidRPr="00E54204">
        <w:rPr>
          <w:bCs/>
          <w:szCs w:val="20"/>
        </w:rPr>
        <w:t xml:space="preserve">There is no trace in Rabbinic Literature that the </w:t>
      </w:r>
      <w:r w:rsidR="00C80A0F" w:rsidRPr="00E54204">
        <w:rPr>
          <w:bCs/>
          <w:i/>
          <w:szCs w:val="20"/>
        </w:rPr>
        <w:t>bat k</w:t>
      </w:r>
      <w:r w:rsidRPr="00E54204">
        <w:rPr>
          <w:bCs/>
          <w:i/>
          <w:szCs w:val="20"/>
        </w:rPr>
        <w:t>ol</w:t>
      </w:r>
      <w:r w:rsidRPr="00E54204">
        <w:rPr>
          <w:bCs/>
          <w:szCs w:val="20"/>
        </w:rPr>
        <w:t xml:space="preserve"> had been outlawed for legal matters (or for theology) prior to this event [R. Eliezer’s excommunication].”</w:t>
      </w:r>
      <w:r w:rsidRPr="00E54204">
        <w:rPr>
          <w:bCs/>
          <w:szCs w:val="20"/>
          <w:vertAlign w:val="superscript"/>
        </w:rPr>
        <w:footnoteReference w:id="422"/>
      </w:r>
      <w:r w:rsidRPr="00E54204">
        <w:rPr>
          <w:bCs/>
          <w:szCs w:val="20"/>
        </w:rPr>
        <w:t xml:space="preserve">  Guttman</w:t>
      </w:r>
      <w:r w:rsidR="002B59CF" w:rsidRPr="00E54204">
        <w:rPr>
          <w:bCs/>
          <w:szCs w:val="20"/>
        </w:rPr>
        <w:t>n</w:t>
      </w:r>
      <w:r w:rsidRPr="00E54204">
        <w:rPr>
          <w:bCs/>
          <w:szCs w:val="20"/>
        </w:rPr>
        <w:t xml:space="preserve"> associates R. Eliezer’s earlier accusation of heresy</w:t>
      </w:r>
      <w:r w:rsidR="00321130" w:rsidRPr="00E54204">
        <w:rPr>
          <w:bCs/>
          <w:szCs w:val="20"/>
        </w:rPr>
        <w:t xml:space="preserve"> (i.e., Christianity)</w:t>
      </w:r>
      <w:r w:rsidR="001F6FCC" w:rsidRPr="00E54204">
        <w:rPr>
          <w:bCs/>
          <w:szCs w:val="20"/>
          <w:vertAlign w:val="superscript"/>
        </w:rPr>
        <w:footnoteReference w:id="423"/>
      </w:r>
      <w:r w:rsidRPr="00E54204">
        <w:rPr>
          <w:bCs/>
          <w:szCs w:val="20"/>
        </w:rPr>
        <w:t xml:space="preserve"> and the rabbinic perception o</w:t>
      </w:r>
      <w:r w:rsidR="001F6FCC" w:rsidRPr="00E54204">
        <w:rPr>
          <w:bCs/>
          <w:szCs w:val="20"/>
        </w:rPr>
        <w:t>f Christianity as magic</w:t>
      </w:r>
      <w:r w:rsidRPr="00E54204">
        <w:rPr>
          <w:bCs/>
          <w:szCs w:val="20"/>
        </w:rPr>
        <w:t>, to imply that the ban c</w:t>
      </w:r>
      <w:r w:rsidR="001F6FCC" w:rsidRPr="00E54204">
        <w:rPr>
          <w:bCs/>
          <w:szCs w:val="20"/>
        </w:rPr>
        <w:t>ould not have been merely over the ritu</w:t>
      </w:r>
      <w:r w:rsidRPr="00E54204">
        <w:rPr>
          <w:bCs/>
          <w:szCs w:val="20"/>
        </w:rPr>
        <w:t>al purity</w:t>
      </w:r>
      <w:r w:rsidR="001F6FCC" w:rsidRPr="00E54204">
        <w:rPr>
          <w:bCs/>
          <w:szCs w:val="20"/>
        </w:rPr>
        <w:t xml:space="preserve"> status of an oven that was cut into pieces and joined together by sand</w:t>
      </w:r>
      <w:r w:rsidRPr="00E54204">
        <w:rPr>
          <w:bCs/>
          <w:szCs w:val="20"/>
        </w:rPr>
        <w:t>.</w:t>
      </w:r>
      <w:r w:rsidR="00071300" w:rsidRPr="00E54204">
        <w:rPr>
          <w:rStyle w:val="FootnoteReference"/>
          <w:bCs/>
          <w:szCs w:val="20"/>
        </w:rPr>
        <w:footnoteReference w:id="424"/>
      </w:r>
      <w:r w:rsidR="00071300" w:rsidRPr="00E54204">
        <w:rPr>
          <w:bCs/>
          <w:szCs w:val="20"/>
        </w:rPr>
        <w:t xml:space="preserve">  </w:t>
      </w:r>
      <w:r w:rsidRPr="00E54204">
        <w:rPr>
          <w:bCs/>
          <w:szCs w:val="20"/>
        </w:rPr>
        <w:t>Such a reading is an intriguing proposit</w:t>
      </w:r>
      <w:r w:rsidR="00321130" w:rsidRPr="00E54204">
        <w:rPr>
          <w:bCs/>
          <w:szCs w:val="20"/>
        </w:rPr>
        <w:t>ion, and has been echoed by</w:t>
      </w:r>
      <w:r w:rsidRPr="00E54204">
        <w:rPr>
          <w:bCs/>
          <w:szCs w:val="20"/>
        </w:rPr>
        <w:t xml:space="preserve"> scholars like Daniel Boyarin.  </w:t>
      </w:r>
    </w:p>
    <w:p w14:paraId="22515A35" w14:textId="77777777" w:rsidR="00ED18D8" w:rsidRPr="00E54204" w:rsidRDefault="00ED18D8" w:rsidP="00ED18D8">
      <w:pPr>
        <w:spacing w:after="160"/>
        <w:ind w:firstLine="720"/>
        <w:rPr>
          <w:szCs w:val="20"/>
        </w:rPr>
      </w:pPr>
      <w:r w:rsidRPr="00E54204">
        <w:rPr>
          <w:bCs/>
          <w:szCs w:val="20"/>
        </w:rPr>
        <w:t>The implication is that the narrative is a modified ac</w:t>
      </w:r>
      <w:r w:rsidR="008216E0" w:rsidRPr="00E54204">
        <w:rPr>
          <w:bCs/>
          <w:szCs w:val="20"/>
        </w:rPr>
        <w:t>count of what really transpired,</w:t>
      </w:r>
      <w:r w:rsidR="00D842D5" w:rsidRPr="00E54204">
        <w:rPr>
          <w:bCs/>
          <w:szCs w:val="20"/>
        </w:rPr>
        <w:t xml:space="preserve"> revealing certain key </w:t>
      </w:r>
      <w:r w:rsidRPr="00E54204">
        <w:rPr>
          <w:bCs/>
          <w:szCs w:val="20"/>
        </w:rPr>
        <w:t>details</w:t>
      </w:r>
      <w:r w:rsidR="00F91E25" w:rsidRPr="00E54204">
        <w:rPr>
          <w:bCs/>
          <w:szCs w:val="20"/>
        </w:rPr>
        <w:t xml:space="preserve"> (the excommunication of R. Eliezer)</w:t>
      </w:r>
      <w:r w:rsidRPr="00E54204">
        <w:rPr>
          <w:bCs/>
          <w:szCs w:val="20"/>
        </w:rPr>
        <w:t xml:space="preserve"> while concealing others</w:t>
      </w:r>
      <w:r w:rsidR="00F91E25" w:rsidRPr="00E54204">
        <w:rPr>
          <w:bCs/>
          <w:szCs w:val="20"/>
        </w:rPr>
        <w:t xml:space="preserve"> (his association with heresy)</w:t>
      </w:r>
      <w:r w:rsidRPr="00E54204">
        <w:rPr>
          <w:bCs/>
          <w:szCs w:val="20"/>
        </w:rPr>
        <w:t>.  In other words, the text leaves room for questions, which lends itself for speculative readings in conjunction with other rabbinic material.</w:t>
      </w:r>
      <w:r w:rsidR="00625C9D" w:rsidRPr="00E54204">
        <w:rPr>
          <w:bCs/>
          <w:szCs w:val="20"/>
        </w:rPr>
        <w:t xml:space="preserve">  </w:t>
      </w:r>
      <w:r w:rsidRPr="00E54204">
        <w:rPr>
          <w:bCs/>
          <w:szCs w:val="20"/>
        </w:rPr>
        <w:t>I hope to have shown how i</w:t>
      </w:r>
      <w:r w:rsidR="00FC3793" w:rsidRPr="00E54204">
        <w:rPr>
          <w:bCs/>
          <w:szCs w:val="20"/>
        </w:rPr>
        <w:t>nterrelated these stories are</w:t>
      </w:r>
      <w:r w:rsidRPr="00E54204">
        <w:rPr>
          <w:bCs/>
          <w:szCs w:val="20"/>
        </w:rPr>
        <w:t>.  Perhaps the text is hinting at the</w:t>
      </w:r>
      <w:r w:rsidR="008216E0" w:rsidRPr="00E54204">
        <w:rPr>
          <w:bCs/>
          <w:szCs w:val="20"/>
        </w:rPr>
        <w:t xml:space="preserve"> real reason for his banishment,</w:t>
      </w:r>
      <w:r w:rsidRPr="00E54204">
        <w:rPr>
          <w:bCs/>
          <w:szCs w:val="20"/>
        </w:rPr>
        <w:t xml:space="preserve"> namely the appeal to miracles which conflicted with the sages’ authority.  Be that as it may, it is noteworthy that the </w:t>
      </w:r>
      <w:r w:rsidRPr="00E54204">
        <w:rPr>
          <w:bCs/>
          <w:i/>
          <w:szCs w:val="20"/>
        </w:rPr>
        <w:t>bat kol</w:t>
      </w:r>
      <w:r w:rsidRPr="00E54204">
        <w:rPr>
          <w:bCs/>
          <w:szCs w:val="20"/>
        </w:rPr>
        <w:t>, a phenomenon normally cast in a favorable light by the writers, is diminished in import in this particular account</w:t>
      </w:r>
      <w:r w:rsidR="00FC3793" w:rsidRPr="00E54204">
        <w:rPr>
          <w:bCs/>
          <w:szCs w:val="20"/>
        </w:rPr>
        <w:t xml:space="preserve"> </w:t>
      </w:r>
      <w:r w:rsidR="00F91E25" w:rsidRPr="00E54204">
        <w:rPr>
          <w:bCs/>
          <w:szCs w:val="20"/>
        </w:rPr>
        <w:t>but not without reason</w:t>
      </w:r>
      <w:r w:rsidRPr="00E54204">
        <w:rPr>
          <w:bCs/>
          <w:szCs w:val="20"/>
        </w:rPr>
        <w:t>.</w:t>
      </w:r>
      <w:r w:rsidR="00FC3793" w:rsidRPr="00E54204">
        <w:rPr>
          <w:bCs/>
          <w:szCs w:val="20"/>
        </w:rPr>
        <w:t xml:space="preserve">  It serves as evidence that the s</w:t>
      </w:r>
      <w:r w:rsidR="00B85C14" w:rsidRPr="00E54204">
        <w:rPr>
          <w:bCs/>
          <w:szCs w:val="20"/>
        </w:rPr>
        <w:t>ages did not operate justly towards</w:t>
      </w:r>
      <w:r w:rsidR="00FC3793" w:rsidRPr="00E54204">
        <w:rPr>
          <w:bCs/>
          <w:szCs w:val="20"/>
        </w:rPr>
        <w:t xml:space="preserve"> R. Eliezer</w:t>
      </w:r>
      <w:r w:rsidR="00B85C14" w:rsidRPr="00E54204">
        <w:rPr>
          <w:bCs/>
          <w:szCs w:val="20"/>
        </w:rPr>
        <w:t xml:space="preserve"> in their decision to excommunicate him, who in turn is vindicated by the mayhem that is unraveled</w:t>
      </w:r>
      <w:r w:rsidR="00FC3793" w:rsidRPr="00E54204">
        <w:rPr>
          <w:bCs/>
          <w:szCs w:val="20"/>
        </w:rPr>
        <w:t>.</w:t>
      </w:r>
      <w:r w:rsidR="00B85C14" w:rsidRPr="00E54204">
        <w:rPr>
          <w:bCs/>
          <w:szCs w:val="20"/>
        </w:rPr>
        <w:t xml:space="preserve">  The text states that a third of the world’s olives, wheat, and barley were burned up and that anywhere R. Eliezer cast his gaze burned up.   </w:t>
      </w:r>
      <w:r w:rsidRPr="00E54204">
        <w:rPr>
          <w:bCs/>
          <w:szCs w:val="20"/>
        </w:rPr>
        <w:t>Though it was not heeded in the aforementioned example, it</w:t>
      </w:r>
      <w:r w:rsidR="00B85C14" w:rsidRPr="00E54204">
        <w:rPr>
          <w:bCs/>
          <w:szCs w:val="20"/>
        </w:rPr>
        <w:t xml:space="preserve"> also</w:t>
      </w:r>
      <w:r w:rsidRPr="00E54204">
        <w:rPr>
          <w:bCs/>
          <w:szCs w:val="20"/>
        </w:rPr>
        <w:t xml:space="preserve"> </w:t>
      </w:r>
      <w:r w:rsidR="008216E0" w:rsidRPr="00E54204">
        <w:rPr>
          <w:bCs/>
          <w:szCs w:val="20"/>
        </w:rPr>
        <w:t>indirectly highlighted the sage</w:t>
      </w:r>
      <w:r w:rsidRPr="00E54204">
        <w:rPr>
          <w:bCs/>
          <w:szCs w:val="20"/>
        </w:rPr>
        <w:t>s</w:t>
      </w:r>
      <w:r w:rsidR="008216E0" w:rsidRPr="00E54204">
        <w:rPr>
          <w:bCs/>
          <w:szCs w:val="20"/>
        </w:rPr>
        <w:t>’</w:t>
      </w:r>
      <w:r w:rsidRPr="00E54204">
        <w:rPr>
          <w:bCs/>
          <w:szCs w:val="20"/>
        </w:rPr>
        <w:t xml:space="preserve"> author</w:t>
      </w:r>
      <w:r w:rsidR="008216E0" w:rsidRPr="00E54204">
        <w:rPr>
          <w:bCs/>
          <w:szCs w:val="20"/>
        </w:rPr>
        <w:t>ity to adjudicate legal matters</w:t>
      </w:r>
      <w:r w:rsidRPr="00E54204">
        <w:rPr>
          <w:bCs/>
          <w:szCs w:val="20"/>
        </w:rPr>
        <w:t xml:space="preserve"> and even to ban individuals for</w:t>
      </w:r>
      <w:r w:rsidR="008216E0" w:rsidRPr="00E54204">
        <w:rPr>
          <w:bCs/>
          <w:szCs w:val="20"/>
        </w:rPr>
        <w:t xml:space="preserve"> the</w:t>
      </w:r>
      <w:r w:rsidRPr="00E54204">
        <w:rPr>
          <w:bCs/>
          <w:szCs w:val="20"/>
        </w:rPr>
        <w:t xml:space="preserve"> greater good of the community.  </w:t>
      </w:r>
      <w:r w:rsidRPr="00E54204">
        <w:rPr>
          <w:szCs w:val="20"/>
        </w:rPr>
        <w:t>Consequently, even though the sages may have had legitimate legal authority in excommunicating a fellow sage, they did not have authority to wrong him in the p</w:t>
      </w:r>
      <w:r w:rsidR="00CF07FB" w:rsidRPr="00E54204">
        <w:rPr>
          <w:szCs w:val="20"/>
        </w:rPr>
        <w:t>rocess which is made evident by the</w:t>
      </w:r>
      <w:r w:rsidR="00B85C14" w:rsidRPr="00E54204">
        <w:rPr>
          <w:szCs w:val="20"/>
        </w:rPr>
        <w:t xml:space="preserve"> </w:t>
      </w:r>
      <w:r w:rsidR="00CF07FB" w:rsidRPr="00E54204">
        <w:rPr>
          <w:szCs w:val="20"/>
        </w:rPr>
        <w:t>disastrous consequences that f</w:t>
      </w:r>
      <w:r w:rsidR="00F91E25" w:rsidRPr="00E54204">
        <w:rPr>
          <w:szCs w:val="20"/>
        </w:rPr>
        <w:t>ollow,</w:t>
      </w:r>
      <w:r w:rsidR="00CF07FB" w:rsidRPr="00E54204">
        <w:rPr>
          <w:szCs w:val="20"/>
        </w:rPr>
        <w:t xml:space="preserve"> including the death of R. Gamaliel.</w:t>
      </w:r>
      <w:r w:rsidRPr="00E54204">
        <w:rPr>
          <w:szCs w:val="20"/>
        </w:rPr>
        <w:t xml:space="preserve">  </w:t>
      </w:r>
    </w:p>
    <w:p w14:paraId="25FE75AD" w14:textId="77777777" w:rsidR="00ED18D8" w:rsidRPr="00E54204" w:rsidRDefault="00ED18D8" w:rsidP="00FC3793">
      <w:pPr>
        <w:ind w:firstLine="720"/>
        <w:rPr>
          <w:szCs w:val="20"/>
        </w:rPr>
      </w:pPr>
      <w:r w:rsidRPr="00E54204">
        <w:rPr>
          <w:szCs w:val="20"/>
        </w:rPr>
        <w:t xml:space="preserve">The </w:t>
      </w:r>
      <w:r w:rsidRPr="00E54204">
        <w:rPr>
          <w:i/>
          <w:szCs w:val="20"/>
        </w:rPr>
        <w:t>bat kol</w:t>
      </w:r>
      <w:r w:rsidRPr="00E54204">
        <w:rPr>
          <w:szCs w:val="20"/>
        </w:rPr>
        <w:t xml:space="preserve"> did not have the footing to determine legal outcomes, though at one point in time it was believed to have arbitrated between the two main schools of the first century CE.  Yet</w:t>
      </w:r>
      <w:r w:rsidR="0017641E" w:rsidRPr="00E54204">
        <w:rPr>
          <w:szCs w:val="20"/>
        </w:rPr>
        <w:t xml:space="preserve"> its decision</w:t>
      </w:r>
      <w:r w:rsidRPr="00E54204">
        <w:rPr>
          <w:szCs w:val="20"/>
        </w:rPr>
        <w:t xml:space="preserve"> is reckoned to have supported the majority de</w:t>
      </w:r>
      <w:r w:rsidR="00FC3793" w:rsidRPr="00E54204">
        <w:rPr>
          <w:szCs w:val="20"/>
        </w:rPr>
        <w:t>cision of the rabbis prior to intervening in that rabbinic deadlock</w:t>
      </w:r>
      <w:r w:rsidRPr="00E54204">
        <w:rPr>
          <w:szCs w:val="20"/>
        </w:rPr>
        <w:t>.  Perhaps the writers conflated a received tradition with a legendary story so as to give the legal ruling (</w:t>
      </w:r>
      <w:r w:rsidR="004A308D" w:rsidRPr="00E54204">
        <w:rPr>
          <w:szCs w:val="20"/>
        </w:rPr>
        <w:t xml:space="preserve">i.e., </w:t>
      </w:r>
      <w:r w:rsidR="00EF69C7" w:rsidRPr="00E54204">
        <w:rPr>
          <w:i/>
          <w:szCs w:val="20"/>
        </w:rPr>
        <w:t>Halac</w:t>
      </w:r>
      <w:r w:rsidRPr="00E54204">
        <w:rPr>
          <w:i/>
          <w:szCs w:val="20"/>
        </w:rPr>
        <w:t xml:space="preserve">ha </w:t>
      </w:r>
      <w:r w:rsidRPr="00E54204">
        <w:rPr>
          <w:szCs w:val="20"/>
        </w:rPr>
        <w:t>follows Hillel) more solidarity, while maintaining that legal decisions cannot be derived from the supernatural, as signs can be produced to lead people astray.  Its restricted nature was best exemplified in R. Eliezer’s confrontation with the sa</w:t>
      </w:r>
      <w:r w:rsidR="008216E0" w:rsidRPr="00E54204">
        <w:rPr>
          <w:szCs w:val="20"/>
        </w:rPr>
        <w:t>ges.  Legal authority</w:t>
      </w:r>
      <w:r w:rsidRPr="00E54204">
        <w:rPr>
          <w:szCs w:val="20"/>
        </w:rPr>
        <w:t xml:space="preserve"> rested on the shoulder</w:t>
      </w:r>
      <w:r w:rsidR="00A60616" w:rsidRPr="00E54204">
        <w:rPr>
          <w:szCs w:val="20"/>
        </w:rPr>
        <w:t>s of the rabbis and no one else</w:t>
      </w:r>
      <w:r w:rsidRPr="00E54204">
        <w:rPr>
          <w:szCs w:val="20"/>
        </w:rPr>
        <w:t xml:space="preserve"> is how the story panned out.  Yet this is not without its complexities as the sages experienced the hazardous aftermath of their brash ruling.  Ultimately the story seems to vindicate R. Eliezer in a roundabout way.  His prayers are heard and more supernatural signs follow,</w:t>
      </w:r>
      <w:r w:rsidR="00A60616" w:rsidRPr="00E54204">
        <w:rPr>
          <w:szCs w:val="20"/>
        </w:rPr>
        <w:t xml:space="preserve"> though he is never released fro</w:t>
      </w:r>
      <w:r w:rsidRPr="00E54204">
        <w:rPr>
          <w:szCs w:val="20"/>
        </w:rPr>
        <w:t>m his ban.</w:t>
      </w:r>
    </w:p>
    <w:p w14:paraId="2DF54032" w14:textId="77777777" w:rsidR="00ED18D8" w:rsidRPr="00E54204" w:rsidRDefault="00E31B4F" w:rsidP="00FC3793">
      <w:pPr>
        <w:rPr>
          <w:b/>
          <w:szCs w:val="20"/>
        </w:rPr>
      </w:pPr>
      <w:r w:rsidRPr="00E54204">
        <w:rPr>
          <w:b/>
          <w:szCs w:val="20"/>
        </w:rPr>
        <w:t>VI.</w:t>
      </w:r>
      <w:r w:rsidRPr="00E54204">
        <w:rPr>
          <w:b/>
          <w:szCs w:val="20"/>
        </w:rPr>
        <w:tab/>
      </w:r>
      <w:r w:rsidR="00ED18D8" w:rsidRPr="00E54204">
        <w:rPr>
          <w:b/>
          <w:szCs w:val="20"/>
        </w:rPr>
        <w:t>Miscellaneous</w:t>
      </w:r>
    </w:p>
    <w:p w14:paraId="34AC898B" w14:textId="77777777" w:rsidR="00ED18D8" w:rsidRPr="00E54204" w:rsidRDefault="00ED18D8" w:rsidP="00FC3793">
      <w:pPr>
        <w:rPr>
          <w:szCs w:val="20"/>
        </w:rPr>
      </w:pPr>
      <w:r w:rsidRPr="00E54204">
        <w:rPr>
          <w:b/>
          <w:szCs w:val="20"/>
        </w:rPr>
        <w:tab/>
      </w:r>
      <w:r w:rsidR="00EB0118" w:rsidRPr="00E54204">
        <w:rPr>
          <w:szCs w:val="20"/>
        </w:rPr>
        <w:t>There are</w:t>
      </w:r>
      <w:r w:rsidR="00161078" w:rsidRPr="00E54204">
        <w:rPr>
          <w:szCs w:val="20"/>
        </w:rPr>
        <w:t xml:space="preserve"> sixteen </w:t>
      </w:r>
      <w:r w:rsidR="00C80A0F" w:rsidRPr="00E54204">
        <w:rPr>
          <w:szCs w:val="20"/>
        </w:rPr>
        <w:t xml:space="preserve">stories </w:t>
      </w:r>
      <w:r w:rsidR="00EB0118" w:rsidRPr="00E54204">
        <w:rPr>
          <w:szCs w:val="20"/>
        </w:rPr>
        <w:t>that</w:t>
      </w:r>
      <w:r w:rsidR="00161078" w:rsidRPr="00E54204">
        <w:rPr>
          <w:szCs w:val="20"/>
        </w:rPr>
        <w:t xml:space="preserve"> remain</w:t>
      </w:r>
      <w:r w:rsidR="00C80A0F" w:rsidRPr="00E54204">
        <w:rPr>
          <w:szCs w:val="20"/>
        </w:rPr>
        <w:t xml:space="preserve"> to be addressed under the </w:t>
      </w:r>
      <w:r w:rsidR="00E31B4F" w:rsidRPr="00E54204">
        <w:rPr>
          <w:szCs w:val="20"/>
        </w:rPr>
        <w:t>category</w:t>
      </w:r>
      <w:r w:rsidR="00161078" w:rsidRPr="00E54204">
        <w:rPr>
          <w:szCs w:val="20"/>
        </w:rPr>
        <w:t xml:space="preserve"> I have termed</w:t>
      </w:r>
      <w:r w:rsidR="00E31B4F" w:rsidRPr="00E54204">
        <w:rPr>
          <w:szCs w:val="20"/>
        </w:rPr>
        <w:t xml:space="preserve"> “</w:t>
      </w:r>
      <w:r w:rsidR="00C80A0F" w:rsidRPr="00E54204">
        <w:rPr>
          <w:szCs w:val="20"/>
        </w:rPr>
        <w:t>miscellaneous</w:t>
      </w:r>
      <w:r w:rsidRPr="00E54204">
        <w:rPr>
          <w:szCs w:val="20"/>
        </w:rPr>
        <w:t>.</w:t>
      </w:r>
      <w:r w:rsidR="00C80A0F" w:rsidRPr="00E54204">
        <w:rPr>
          <w:szCs w:val="20"/>
        </w:rPr>
        <w:t>”</w:t>
      </w:r>
      <w:r w:rsidRPr="00E54204">
        <w:rPr>
          <w:szCs w:val="20"/>
          <w:vertAlign w:val="superscript"/>
        </w:rPr>
        <w:footnoteReference w:id="425"/>
      </w:r>
      <w:r w:rsidRPr="00E54204">
        <w:rPr>
          <w:szCs w:val="20"/>
        </w:rPr>
        <w:t xml:space="preserve">  The </w:t>
      </w:r>
      <w:r w:rsidR="0019785A" w:rsidRPr="00E54204">
        <w:rPr>
          <w:i/>
          <w:szCs w:val="20"/>
        </w:rPr>
        <w:t>bat kol</w:t>
      </w:r>
      <w:r w:rsidRPr="00E54204">
        <w:rPr>
          <w:i/>
          <w:szCs w:val="20"/>
        </w:rPr>
        <w:t xml:space="preserve"> </w:t>
      </w:r>
      <w:r w:rsidRPr="00E54204">
        <w:rPr>
          <w:szCs w:val="20"/>
        </w:rPr>
        <w:t>in these accounts do</w:t>
      </w:r>
      <w:r w:rsidR="0019785A" w:rsidRPr="00E54204">
        <w:rPr>
          <w:szCs w:val="20"/>
        </w:rPr>
        <w:t>es</w:t>
      </w:r>
      <w:r w:rsidRPr="00E54204">
        <w:rPr>
          <w:szCs w:val="20"/>
        </w:rPr>
        <w:t xml:space="preserve"> not appear to be as instruc</w:t>
      </w:r>
      <w:r w:rsidR="0019785A" w:rsidRPr="00E54204">
        <w:rPr>
          <w:szCs w:val="20"/>
        </w:rPr>
        <w:t>tive as the ones previously discussed</w:t>
      </w:r>
      <w:r w:rsidR="00B8528D" w:rsidRPr="00E54204">
        <w:rPr>
          <w:szCs w:val="20"/>
        </w:rPr>
        <w:t>.  They randomly appear</w:t>
      </w:r>
      <w:r w:rsidRPr="00E54204">
        <w:rPr>
          <w:szCs w:val="20"/>
        </w:rPr>
        <w:t xml:space="preserve"> and the topic being addressed varies from story to story</w:t>
      </w:r>
      <w:r w:rsidR="00B8528D" w:rsidRPr="00E54204">
        <w:rPr>
          <w:szCs w:val="20"/>
        </w:rPr>
        <w:t xml:space="preserve">.  In other words, the message the </w:t>
      </w:r>
      <w:r w:rsidR="00B8528D" w:rsidRPr="00E54204">
        <w:rPr>
          <w:i/>
          <w:szCs w:val="20"/>
        </w:rPr>
        <w:t xml:space="preserve">bat kol </w:t>
      </w:r>
      <w:r w:rsidR="00B8528D" w:rsidRPr="00E54204">
        <w:rPr>
          <w:szCs w:val="20"/>
        </w:rPr>
        <w:t xml:space="preserve">delivers is not consistent but differs in story and content.  Examples include </w:t>
      </w:r>
      <w:r w:rsidRPr="00E54204">
        <w:rPr>
          <w:szCs w:val="20"/>
        </w:rPr>
        <w:t xml:space="preserve">God halting a sage from further divulging his mysteries or the </w:t>
      </w:r>
      <w:r w:rsidRPr="00E54204">
        <w:rPr>
          <w:i/>
          <w:szCs w:val="20"/>
        </w:rPr>
        <w:t xml:space="preserve">bat kol </w:t>
      </w:r>
      <w:r w:rsidRPr="00E54204">
        <w:rPr>
          <w:szCs w:val="20"/>
        </w:rPr>
        <w:t>instructing a rabbi to give back to the angel of death his knife because it is needed for other creatures.  Surely</w:t>
      </w:r>
      <w:r w:rsidR="00EB68B3" w:rsidRPr="00E54204">
        <w:rPr>
          <w:szCs w:val="20"/>
        </w:rPr>
        <w:t>, in such examples the legendary</w:t>
      </w:r>
      <w:r w:rsidRPr="00E54204">
        <w:rPr>
          <w:szCs w:val="20"/>
        </w:rPr>
        <w:t xml:space="preserve"> nature of </w:t>
      </w:r>
      <w:r w:rsidR="00B8528D" w:rsidRPr="00E54204">
        <w:rPr>
          <w:szCs w:val="20"/>
        </w:rPr>
        <w:t>these stories is more palpable</w:t>
      </w:r>
      <w:r w:rsidRPr="00E54204">
        <w:rPr>
          <w:szCs w:val="20"/>
        </w:rPr>
        <w:t xml:space="preserve">.  However, it was recorded that a </w:t>
      </w:r>
      <w:r w:rsidRPr="00E54204">
        <w:rPr>
          <w:i/>
          <w:szCs w:val="20"/>
        </w:rPr>
        <w:t>bat kol</w:t>
      </w:r>
      <w:r w:rsidRPr="00E54204">
        <w:rPr>
          <w:szCs w:val="20"/>
        </w:rPr>
        <w:t xml:space="preserve"> was heard in the holy of holies before and during the time of th</w:t>
      </w:r>
      <w:r w:rsidR="00966DC4" w:rsidRPr="00E54204">
        <w:rPr>
          <w:szCs w:val="20"/>
        </w:rPr>
        <w:t>e Hasmonean dynasty and indeed the Jewish-Roman</w:t>
      </w:r>
      <w:r w:rsidRPr="00E54204">
        <w:rPr>
          <w:szCs w:val="20"/>
        </w:rPr>
        <w:t xml:space="preserve"> historian Jos</w:t>
      </w:r>
      <w:r w:rsidR="00663600" w:rsidRPr="00E54204">
        <w:rPr>
          <w:szCs w:val="20"/>
        </w:rPr>
        <w:t xml:space="preserve">ephus records a similar account </w:t>
      </w:r>
      <w:r w:rsidR="00EB4FD6" w:rsidRPr="00E54204">
        <w:rPr>
          <w:szCs w:val="20"/>
        </w:rPr>
        <w:t>w</w:t>
      </w:r>
      <w:r w:rsidR="00C04BBE" w:rsidRPr="00E54204">
        <w:rPr>
          <w:szCs w:val="20"/>
        </w:rPr>
        <w:t>hich begs the question why</w:t>
      </w:r>
      <w:r w:rsidR="00A20FD6" w:rsidRPr="00E54204">
        <w:rPr>
          <w:szCs w:val="20"/>
        </w:rPr>
        <w:t xml:space="preserve"> are</w:t>
      </w:r>
      <w:r w:rsidR="00C04BBE" w:rsidRPr="00E54204">
        <w:rPr>
          <w:szCs w:val="20"/>
        </w:rPr>
        <w:t xml:space="preserve"> the</w:t>
      </w:r>
      <w:r w:rsidR="00A20FD6" w:rsidRPr="00E54204">
        <w:rPr>
          <w:szCs w:val="20"/>
        </w:rPr>
        <w:t>re</w:t>
      </w:r>
      <w:r w:rsidR="00EB4FD6" w:rsidRPr="00E54204">
        <w:rPr>
          <w:szCs w:val="20"/>
        </w:rPr>
        <w:t xml:space="preserve"> two accounts</w:t>
      </w:r>
      <w:r w:rsidR="00C04BBE" w:rsidRPr="00E54204">
        <w:rPr>
          <w:szCs w:val="20"/>
        </w:rPr>
        <w:t xml:space="preserve"> (rabbinic</w:t>
      </w:r>
      <w:r w:rsidR="00EB4FD6" w:rsidRPr="00E54204">
        <w:rPr>
          <w:szCs w:val="20"/>
        </w:rPr>
        <w:t xml:space="preserve"> and Josephus)</w:t>
      </w:r>
      <w:r w:rsidR="00A20FD6" w:rsidRPr="00E54204">
        <w:rPr>
          <w:szCs w:val="20"/>
        </w:rPr>
        <w:t xml:space="preserve"> that record</w:t>
      </w:r>
      <w:r w:rsidR="00EB4FD6" w:rsidRPr="00E54204">
        <w:rPr>
          <w:szCs w:val="20"/>
        </w:rPr>
        <w:t xml:space="preserve"> the same event?</w:t>
      </w:r>
      <w:r w:rsidRPr="00E54204">
        <w:rPr>
          <w:szCs w:val="20"/>
          <w:vertAlign w:val="superscript"/>
        </w:rPr>
        <w:footnoteReference w:id="426"/>
      </w:r>
      <w:r w:rsidR="00EB4FD6" w:rsidRPr="00E54204">
        <w:rPr>
          <w:szCs w:val="20"/>
        </w:rPr>
        <w:t xml:space="preserve">  </w:t>
      </w:r>
      <w:r w:rsidR="00EB4FD6" w:rsidRPr="00E54204">
        <w:rPr>
          <w:bCs/>
          <w:szCs w:val="20"/>
        </w:rPr>
        <w:t xml:space="preserve">I have not researched a possible answer to this question, though it is plausible that the story is based off an actual supernatural event or a similar tale around which the story of the </w:t>
      </w:r>
      <w:r w:rsidR="00EB4FD6" w:rsidRPr="00E54204">
        <w:rPr>
          <w:bCs/>
          <w:i/>
          <w:szCs w:val="20"/>
        </w:rPr>
        <w:t xml:space="preserve">bat kol </w:t>
      </w:r>
      <w:r w:rsidR="00A20FD6" w:rsidRPr="00E54204">
        <w:rPr>
          <w:bCs/>
          <w:szCs w:val="20"/>
        </w:rPr>
        <w:t>developed.</w:t>
      </w:r>
      <w:r w:rsidR="00663600" w:rsidRPr="00E54204">
        <w:rPr>
          <w:bCs/>
          <w:szCs w:val="20"/>
        </w:rPr>
        <w:t xml:space="preserve">  Therefore, in the case of this story, it is not out of the question to pres</w:t>
      </w:r>
      <w:r w:rsidR="00A20FD6" w:rsidRPr="00E54204">
        <w:rPr>
          <w:bCs/>
          <w:szCs w:val="20"/>
        </w:rPr>
        <w:t>ume some historical basis given the multiple attestations to this event.</w:t>
      </w:r>
    </w:p>
    <w:p w14:paraId="5A2568FE" w14:textId="77777777" w:rsidR="00ED18D8" w:rsidRPr="00E54204" w:rsidRDefault="00ED18D8" w:rsidP="00C80A0F">
      <w:pPr>
        <w:rPr>
          <w:szCs w:val="20"/>
        </w:rPr>
      </w:pPr>
      <w:r w:rsidRPr="00E54204">
        <w:rPr>
          <w:szCs w:val="20"/>
        </w:rPr>
        <w:tab/>
        <w:t xml:space="preserve">The accounts address in which language one should recite the twice daily “eighteen benedictions” in order to be heard by the ministering angels.  Rab Judah states that one should never pray them in Aramaic, if one wishes to be heard, since this was taught by R. Yohanan.  The text then proceeds to give a rejoinder from the </w:t>
      </w:r>
      <w:r w:rsidRPr="00E54204">
        <w:rPr>
          <w:i/>
          <w:szCs w:val="20"/>
        </w:rPr>
        <w:t>Tannaim</w:t>
      </w:r>
      <w:r w:rsidRPr="00E54204">
        <w:rPr>
          <w:szCs w:val="20"/>
        </w:rPr>
        <w:t>:</w:t>
      </w:r>
    </w:p>
    <w:p w14:paraId="6839CDC2" w14:textId="77777777" w:rsidR="00ED18D8" w:rsidRPr="00E54204" w:rsidRDefault="00ED18D8" w:rsidP="00C80A0F">
      <w:pPr>
        <w:spacing w:line="240" w:lineRule="auto"/>
        <w:rPr>
          <w:szCs w:val="20"/>
        </w:rPr>
      </w:pPr>
      <w:r w:rsidRPr="00E54204">
        <w:rPr>
          <w:szCs w:val="20"/>
        </w:rPr>
        <w:t>Behold it has been taught: Yohanan,</w:t>
      </w:r>
      <w:r w:rsidRPr="00E54204">
        <w:rPr>
          <w:szCs w:val="20"/>
          <w:vertAlign w:val="superscript"/>
        </w:rPr>
        <w:footnoteReference w:id="427"/>
      </w:r>
      <w:r w:rsidRPr="00E54204">
        <w:rPr>
          <w:szCs w:val="20"/>
        </w:rPr>
        <w:t xml:space="preserve"> the High Priest, heard a </w:t>
      </w:r>
      <w:r w:rsidRPr="00E54204">
        <w:rPr>
          <w:i/>
          <w:iCs/>
          <w:szCs w:val="20"/>
        </w:rPr>
        <w:t>bat kol</w:t>
      </w:r>
      <w:r w:rsidRPr="00E54204">
        <w:rPr>
          <w:szCs w:val="20"/>
          <w:vertAlign w:val="superscript"/>
        </w:rPr>
        <w:t xml:space="preserve"> </w:t>
      </w:r>
      <w:r w:rsidRPr="00E54204">
        <w:rPr>
          <w:szCs w:val="20"/>
        </w:rPr>
        <w:t>issue from within the Holy of Holies announcing, 'The young men who went to wage war against Antioch have been victorious.  It also happened with Simeon the Righteous</w:t>
      </w:r>
      <w:r w:rsidRPr="00E54204">
        <w:rPr>
          <w:szCs w:val="20"/>
          <w:vertAlign w:val="superscript"/>
        </w:rPr>
        <w:footnoteReference w:id="428"/>
      </w:r>
      <w:r w:rsidRPr="00E54204">
        <w:rPr>
          <w:szCs w:val="20"/>
        </w:rPr>
        <w:t xml:space="preserve"> that he heard a </w:t>
      </w:r>
      <w:r w:rsidRPr="00E54204">
        <w:rPr>
          <w:i/>
          <w:iCs/>
          <w:szCs w:val="20"/>
        </w:rPr>
        <w:t>Bath Kol</w:t>
      </w:r>
      <w:r w:rsidRPr="00E54204">
        <w:rPr>
          <w:szCs w:val="20"/>
        </w:rPr>
        <w:t> issue from within the Holy of Holies announcing, 'Annulled is the decree which the enemy intended to introduce into the Temple'. Then was Caius Caligula</w:t>
      </w:r>
      <w:r w:rsidRPr="00E54204">
        <w:rPr>
          <w:szCs w:val="20"/>
          <w:vertAlign w:val="superscript"/>
        </w:rPr>
        <w:t xml:space="preserve"> </w:t>
      </w:r>
      <w:r w:rsidRPr="00E54204">
        <w:rPr>
          <w:szCs w:val="20"/>
        </w:rPr>
        <w:t>slain and his decrees annulled. They noted down the time [when the </w:t>
      </w:r>
      <w:r w:rsidRPr="00E54204">
        <w:rPr>
          <w:i/>
          <w:iCs/>
          <w:szCs w:val="20"/>
        </w:rPr>
        <w:t>Bath Kol</w:t>
      </w:r>
      <w:r w:rsidRPr="00E54204">
        <w:rPr>
          <w:szCs w:val="20"/>
        </w:rPr>
        <w:t> spoke] and it tallied.  Now it was in Aramaic that it spoke! — If you wish I can say that it is different with a </w:t>
      </w:r>
      <w:r w:rsidRPr="00E54204">
        <w:rPr>
          <w:i/>
          <w:iCs/>
          <w:szCs w:val="20"/>
        </w:rPr>
        <w:t>Bath Kol</w:t>
      </w:r>
      <w:r w:rsidRPr="00E54204">
        <w:rPr>
          <w:szCs w:val="20"/>
        </w:rPr>
        <w:t> since it occurs for the purpose of being generally understood; or if you wish I can say that it was Gabriel who spoke; for a Master has declared: Gabriel came and taught [Joseph] the seventy languages.</w:t>
      </w:r>
      <w:r w:rsidRPr="00E54204">
        <w:rPr>
          <w:szCs w:val="20"/>
          <w:vertAlign w:val="superscript"/>
        </w:rPr>
        <w:footnoteReference w:id="429"/>
      </w:r>
    </w:p>
    <w:p w14:paraId="0C97847D" w14:textId="77777777" w:rsidR="00C80A0F" w:rsidRPr="00E54204" w:rsidRDefault="00C80A0F" w:rsidP="00C80A0F">
      <w:pPr>
        <w:spacing w:line="240" w:lineRule="auto"/>
        <w:rPr>
          <w:szCs w:val="20"/>
        </w:rPr>
      </w:pPr>
    </w:p>
    <w:p w14:paraId="2BC2704D" w14:textId="77777777" w:rsidR="00ED18D8" w:rsidRPr="00E54204" w:rsidRDefault="00ED18D8" w:rsidP="00ED18D8">
      <w:pPr>
        <w:spacing w:after="160"/>
        <w:rPr>
          <w:szCs w:val="20"/>
        </w:rPr>
      </w:pPr>
      <w:r w:rsidRPr="00E54204">
        <w:rPr>
          <w:szCs w:val="20"/>
        </w:rPr>
        <w:t xml:space="preserve">It is unclear if this story was derived from </w:t>
      </w:r>
      <w:r w:rsidR="00966DC4" w:rsidRPr="00E54204">
        <w:rPr>
          <w:szCs w:val="20"/>
        </w:rPr>
        <w:t>the Josephus account or if both</w:t>
      </w:r>
      <w:r w:rsidRPr="00E54204">
        <w:rPr>
          <w:szCs w:val="20"/>
        </w:rPr>
        <w:t xml:space="preserve"> Josephus and the rabbis drew from a common source.  Either way, the reason for mentioning the </w:t>
      </w:r>
      <w:r w:rsidRPr="00E54204">
        <w:rPr>
          <w:i/>
          <w:szCs w:val="20"/>
        </w:rPr>
        <w:t xml:space="preserve">bat kol </w:t>
      </w:r>
      <w:r w:rsidRPr="00E54204">
        <w:rPr>
          <w:szCs w:val="20"/>
        </w:rPr>
        <w:t xml:space="preserve">is to show that one can pray in Aramaic, if one chooses, at least for general prayers.  The proof lies in that the </w:t>
      </w:r>
      <w:r w:rsidRPr="00E54204">
        <w:rPr>
          <w:i/>
          <w:szCs w:val="20"/>
        </w:rPr>
        <w:t xml:space="preserve">bat kol </w:t>
      </w:r>
      <w:r w:rsidRPr="00E54204">
        <w:rPr>
          <w:szCs w:val="20"/>
        </w:rPr>
        <w:t>allegedly communicated in Aramaic to the high priest, Yohanan, and Simon the righteous.  Hence it is presumed that one could pray in Aramaic and be understood.  The text does not explain why the ministering angles were believed unable to comprehend prayers in Aramaic, and further that Gabriel is conversant in seventy languages.  However, in the beginning of the passage, the Talmud lays out the prescriptions for prayers as found in the Mishnah.</w:t>
      </w:r>
      <w:r w:rsidRPr="00E54204">
        <w:rPr>
          <w:szCs w:val="20"/>
          <w:vertAlign w:val="superscript"/>
        </w:rPr>
        <w:footnoteReference w:id="430"/>
      </w:r>
      <w:r w:rsidRPr="00E54204">
        <w:rPr>
          <w:szCs w:val="20"/>
        </w:rPr>
        <w:t xml:space="preserve">  The Mishnaic text stipulates which prayers may be uttered in any language</w:t>
      </w:r>
      <w:r w:rsidRPr="00E54204">
        <w:rPr>
          <w:szCs w:val="20"/>
          <w:vertAlign w:val="superscript"/>
        </w:rPr>
        <w:footnoteReference w:id="431"/>
      </w:r>
      <w:r w:rsidRPr="00E54204">
        <w:rPr>
          <w:szCs w:val="20"/>
        </w:rPr>
        <w:t xml:space="preserve"> and which are required to be spoken in the “holy tongue,” namely Hebrew.</w:t>
      </w:r>
      <w:r w:rsidRPr="00E54204">
        <w:rPr>
          <w:szCs w:val="20"/>
          <w:vertAlign w:val="superscript"/>
        </w:rPr>
        <w:footnoteReference w:id="432"/>
      </w:r>
      <w:r w:rsidRPr="00E54204">
        <w:rPr>
          <w:szCs w:val="20"/>
        </w:rPr>
        <w:t xml:space="preserve"> </w:t>
      </w:r>
    </w:p>
    <w:p w14:paraId="5D5AF8FC" w14:textId="77777777" w:rsidR="00C80A0F" w:rsidRPr="00E54204" w:rsidRDefault="00ED18D8" w:rsidP="00A81876">
      <w:pPr>
        <w:spacing w:after="160"/>
        <w:ind w:firstLine="720"/>
        <w:rPr>
          <w:szCs w:val="20"/>
        </w:rPr>
      </w:pPr>
      <w:r w:rsidRPr="00E54204">
        <w:rPr>
          <w:szCs w:val="20"/>
        </w:rPr>
        <w:t xml:space="preserve">The </w:t>
      </w:r>
      <w:r w:rsidRPr="00E54204">
        <w:rPr>
          <w:i/>
          <w:szCs w:val="20"/>
        </w:rPr>
        <w:t xml:space="preserve">bat kol </w:t>
      </w:r>
      <w:r w:rsidRPr="00E54204">
        <w:rPr>
          <w:szCs w:val="20"/>
        </w:rPr>
        <w:t>was believed to manifest itself in intelligible communication.  Furthermore, it was spoken of in the same category as angels, which is a detail not made explicit before.</w:t>
      </w:r>
      <w:r w:rsidRPr="00E54204">
        <w:rPr>
          <w:szCs w:val="20"/>
          <w:vertAlign w:val="superscript"/>
        </w:rPr>
        <w:footnoteReference w:id="433"/>
      </w:r>
      <w:r w:rsidRPr="00E54204">
        <w:rPr>
          <w:szCs w:val="20"/>
        </w:rPr>
        <w:t xml:space="preserve">  The understanding was that if the </w:t>
      </w:r>
      <w:r w:rsidRPr="00E54204">
        <w:rPr>
          <w:i/>
          <w:szCs w:val="20"/>
        </w:rPr>
        <w:t>bat kol</w:t>
      </w:r>
      <w:r w:rsidRPr="00E54204">
        <w:rPr>
          <w:szCs w:val="20"/>
        </w:rPr>
        <w:t xml:space="preserve"> communicated through Aramaic, </w:t>
      </w:r>
      <w:r w:rsidR="00EB68B3" w:rsidRPr="00E54204">
        <w:rPr>
          <w:szCs w:val="20"/>
        </w:rPr>
        <w:t>either the angels understood that</w:t>
      </w:r>
      <w:r w:rsidRPr="00E54204">
        <w:rPr>
          <w:szCs w:val="20"/>
        </w:rPr>
        <w:t xml:space="preserve"> vernacular or it </w:t>
      </w:r>
      <w:r w:rsidR="00EB68B3" w:rsidRPr="00E54204">
        <w:rPr>
          <w:szCs w:val="20"/>
        </w:rPr>
        <w:t xml:space="preserve">was none other than the angel </w:t>
      </w:r>
      <w:r w:rsidRPr="00E54204">
        <w:rPr>
          <w:szCs w:val="20"/>
        </w:rPr>
        <w:t>Gabriel</w:t>
      </w:r>
      <w:r w:rsidR="00EB68B3" w:rsidRPr="00E54204">
        <w:rPr>
          <w:szCs w:val="20"/>
        </w:rPr>
        <w:t xml:space="preserve"> who was familiar with Aramaic</w:t>
      </w:r>
      <w:r w:rsidRPr="00E54204">
        <w:rPr>
          <w:szCs w:val="20"/>
        </w:rPr>
        <w:t>.  The military victory against “Antioch”</w:t>
      </w:r>
      <w:r w:rsidRPr="00E54204">
        <w:rPr>
          <w:szCs w:val="20"/>
          <w:vertAlign w:val="superscript"/>
        </w:rPr>
        <w:footnoteReference w:id="434"/>
      </w:r>
      <w:r w:rsidRPr="00E54204">
        <w:rPr>
          <w:szCs w:val="20"/>
        </w:rPr>
        <w:t xml:space="preserve"> and the annul</w:t>
      </w:r>
      <w:r w:rsidR="005F513D" w:rsidRPr="00E54204">
        <w:rPr>
          <w:szCs w:val="20"/>
        </w:rPr>
        <w:t>ment of the decree against the T</w:t>
      </w:r>
      <w:r w:rsidRPr="00E54204">
        <w:rPr>
          <w:szCs w:val="20"/>
        </w:rPr>
        <w:t>emple do not have clear historica</w:t>
      </w:r>
      <w:r w:rsidR="00EB68B3" w:rsidRPr="00E54204">
        <w:rPr>
          <w:szCs w:val="20"/>
        </w:rPr>
        <w:t>l connections</w:t>
      </w:r>
      <w:r w:rsidRPr="00E54204">
        <w:rPr>
          <w:szCs w:val="20"/>
        </w:rPr>
        <w:t>.  Both are conceivably good</w:t>
      </w:r>
      <w:r w:rsidR="00966DC4" w:rsidRPr="00E54204">
        <w:rPr>
          <w:szCs w:val="20"/>
        </w:rPr>
        <w:t xml:space="preserve"> news for the Jews at that time,</w:t>
      </w:r>
      <w:r w:rsidRPr="00E54204">
        <w:rPr>
          <w:szCs w:val="20"/>
        </w:rPr>
        <w:t xml:space="preserve"> the defeating of a Seleucid king and the p</w:t>
      </w:r>
      <w:r w:rsidR="00A81876" w:rsidRPr="00E54204">
        <w:rPr>
          <w:szCs w:val="20"/>
        </w:rPr>
        <w:t>reservation of the holy Temple.</w:t>
      </w:r>
    </w:p>
    <w:p w14:paraId="060ED289" w14:textId="77777777" w:rsidR="00ED18D8" w:rsidRPr="00E54204" w:rsidRDefault="00ED6477" w:rsidP="00ED18D8">
      <w:pPr>
        <w:spacing w:after="160"/>
        <w:rPr>
          <w:b/>
          <w:szCs w:val="20"/>
        </w:rPr>
      </w:pPr>
      <w:r w:rsidRPr="00E54204">
        <w:rPr>
          <w:b/>
          <w:szCs w:val="20"/>
        </w:rPr>
        <w:t>VII.</w:t>
      </w:r>
      <w:r w:rsidRPr="00E54204">
        <w:rPr>
          <w:b/>
          <w:szCs w:val="20"/>
        </w:rPr>
        <w:tab/>
      </w:r>
      <w:r w:rsidR="00ED18D8" w:rsidRPr="00E54204">
        <w:rPr>
          <w:b/>
          <w:szCs w:val="20"/>
        </w:rPr>
        <w:t xml:space="preserve">Conclusion </w:t>
      </w:r>
    </w:p>
    <w:p w14:paraId="01AF9655" w14:textId="77777777" w:rsidR="00ED18D8" w:rsidRPr="00E54204" w:rsidRDefault="00ED18D8" w:rsidP="00ED18D8">
      <w:pPr>
        <w:spacing w:after="160"/>
        <w:rPr>
          <w:szCs w:val="20"/>
        </w:rPr>
      </w:pPr>
      <w:r w:rsidRPr="00E54204">
        <w:rPr>
          <w:b/>
          <w:szCs w:val="20"/>
        </w:rPr>
        <w:tab/>
      </w:r>
      <w:r w:rsidRPr="00E54204">
        <w:rPr>
          <w:szCs w:val="20"/>
        </w:rPr>
        <w:t xml:space="preserve">Throughout this chapter, I presented samples from various types of categories which I believe represent common themes.  The first pertained to the </w:t>
      </w:r>
      <w:r w:rsidRPr="00E54204">
        <w:rPr>
          <w:i/>
          <w:szCs w:val="20"/>
        </w:rPr>
        <w:t xml:space="preserve">bat kol </w:t>
      </w:r>
      <w:r w:rsidRPr="00E54204">
        <w:rPr>
          <w:szCs w:val="20"/>
        </w:rPr>
        <w:t>announcing entry into the world to come or ratification that “so and so” is destined for the world to come.  This is most emphatically declared upon a righteous person dying or being put to death, as in the case of R. Akiva, with the standard phrase, “so-and-so is destined to the world to come!”  Several stories weave together details that may be understood to be based on historical realities:</w:t>
      </w:r>
      <w:r w:rsidRPr="00E54204">
        <w:rPr>
          <w:szCs w:val="20"/>
          <w:vertAlign w:val="superscript"/>
        </w:rPr>
        <w:footnoteReference w:id="435"/>
      </w:r>
      <w:r w:rsidRPr="00E54204">
        <w:rPr>
          <w:szCs w:val="20"/>
        </w:rPr>
        <w:t xml:space="preserve"> wicked governments, persecution of the Jews and the outlawing of Torah teaching.</w:t>
      </w:r>
    </w:p>
    <w:p w14:paraId="4826F612" w14:textId="77777777" w:rsidR="00ED18D8" w:rsidRPr="00E54204" w:rsidRDefault="00ED18D8" w:rsidP="00ED18D8">
      <w:pPr>
        <w:spacing w:after="160"/>
        <w:rPr>
          <w:szCs w:val="20"/>
        </w:rPr>
      </w:pPr>
      <w:r w:rsidRPr="00E54204">
        <w:rPr>
          <w:szCs w:val="20"/>
        </w:rPr>
        <w:tab/>
        <w:t>Correspondingly, the following section analyzed instances when individuals were praised for their merit.  Stories were recorded in which rabbis renowned for their humility, modesty, and kindness were picked out as worthy recipients of God’s Holy Spirit.  In the case of humble R. Hanina b. Dosa, three times the story of his divine endorsement as “God’s son” is found in the Bavli.  His merit was so great that it sustained the entire world.  It seemed that the rabbis enjoyed sharing these stories in which the good deed</w:t>
      </w:r>
      <w:r w:rsidR="00CF07FB" w:rsidRPr="00E54204">
        <w:rPr>
          <w:szCs w:val="20"/>
        </w:rPr>
        <w:t>s of men were greatly praised</w:t>
      </w:r>
      <w:r w:rsidRPr="00E54204">
        <w:rPr>
          <w:szCs w:val="20"/>
        </w:rPr>
        <w:t>.  Equally, evil deeds commi</w:t>
      </w:r>
      <w:r w:rsidR="00CF07FB" w:rsidRPr="00E54204">
        <w:rPr>
          <w:szCs w:val="20"/>
        </w:rPr>
        <w:t>tted by men were seen as signs</w:t>
      </w:r>
      <w:r w:rsidRPr="00E54204">
        <w:rPr>
          <w:szCs w:val="20"/>
        </w:rPr>
        <w:t xml:space="preserve"> of much greater depravity.</w:t>
      </w:r>
      <w:r w:rsidR="00CF07FB" w:rsidRPr="00E54204">
        <w:rPr>
          <w:szCs w:val="20"/>
        </w:rPr>
        <w:t xml:space="preserve">  The rabbis worked on the assumption that deeds of a certain type, whether good or bad, were conducive to more of that same behavior, which is why these stories speak the way they do concerning various characters.</w:t>
      </w:r>
      <w:r w:rsidR="00BC2661" w:rsidRPr="00E54204">
        <w:rPr>
          <w:szCs w:val="20"/>
        </w:rPr>
        <w:t xml:space="preserve">  </w:t>
      </w:r>
      <w:r w:rsidRPr="00E54204">
        <w:rPr>
          <w:szCs w:val="20"/>
        </w:rPr>
        <w:t>Nebuchadnezzar is one of the iconic figures in this category</w:t>
      </w:r>
      <w:r w:rsidR="004F4565" w:rsidRPr="00E54204">
        <w:rPr>
          <w:szCs w:val="20"/>
        </w:rPr>
        <w:t xml:space="preserve">, along with several other </w:t>
      </w:r>
      <w:r w:rsidRPr="00E54204">
        <w:rPr>
          <w:szCs w:val="20"/>
        </w:rPr>
        <w:t>characters from t</w:t>
      </w:r>
      <w:r w:rsidR="004F4565" w:rsidRPr="00E54204">
        <w:rPr>
          <w:szCs w:val="20"/>
        </w:rPr>
        <w:t>he Biblical period as well as from</w:t>
      </w:r>
      <w:r w:rsidRPr="00E54204">
        <w:rPr>
          <w:szCs w:val="20"/>
        </w:rPr>
        <w:t xml:space="preserve"> </w:t>
      </w:r>
      <w:r w:rsidR="004F4565" w:rsidRPr="00E54204">
        <w:rPr>
          <w:szCs w:val="20"/>
        </w:rPr>
        <w:t>antiquity that was portrayed as being highly immoral</w:t>
      </w:r>
      <w:r w:rsidRPr="00E54204">
        <w:rPr>
          <w:szCs w:val="20"/>
        </w:rPr>
        <w:t xml:space="preserve">.  The </w:t>
      </w:r>
      <w:r w:rsidRPr="00E54204">
        <w:rPr>
          <w:i/>
          <w:szCs w:val="20"/>
        </w:rPr>
        <w:t xml:space="preserve">bat kol </w:t>
      </w:r>
      <w:r w:rsidRPr="00E54204">
        <w:rPr>
          <w:szCs w:val="20"/>
        </w:rPr>
        <w:t xml:space="preserve">is attested to having been active during the Biblical period as well as during the times of the sages.  </w:t>
      </w:r>
    </w:p>
    <w:p w14:paraId="19BAFD6A" w14:textId="77777777" w:rsidR="00ED18D8" w:rsidRPr="00E54204" w:rsidRDefault="00ED18D8" w:rsidP="00ED18D8">
      <w:pPr>
        <w:spacing w:after="160"/>
        <w:ind w:firstLine="720"/>
        <w:rPr>
          <w:szCs w:val="20"/>
        </w:rPr>
      </w:pPr>
      <w:r w:rsidRPr="00E54204">
        <w:rPr>
          <w:szCs w:val="20"/>
        </w:rPr>
        <w:t xml:space="preserve">The </w:t>
      </w:r>
      <w:r w:rsidRPr="00E54204">
        <w:rPr>
          <w:i/>
          <w:szCs w:val="20"/>
        </w:rPr>
        <w:t xml:space="preserve">bat kol </w:t>
      </w:r>
      <w:r w:rsidRPr="00E54204">
        <w:rPr>
          <w:szCs w:val="20"/>
        </w:rPr>
        <w:t xml:space="preserve">may have had some </w:t>
      </w:r>
      <w:r w:rsidR="004B512C" w:rsidRPr="00E54204">
        <w:rPr>
          <w:i/>
          <w:szCs w:val="20"/>
        </w:rPr>
        <w:t>Halac</w:t>
      </w:r>
      <w:r w:rsidRPr="00E54204">
        <w:rPr>
          <w:i/>
          <w:szCs w:val="20"/>
        </w:rPr>
        <w:t xml:space="preserve">hic </w:t>
      </w:r>
      <w:r w:rsidRPr="00E54204">
        <w:rPr>
          <w:szCs w:val="20"/>
        </w:rPr>
        <w:t xml:space="preserve">say, though such an idea was swiftly torn down as evidenced by the words of R. Joshua.  Mishnaic statements seem to support the validity of a </w:t>
      </w:r>
      <w:r w:rsidRPr="00E54204">
        <w:rPr>
          <w:i/>
          <w:szCs w:val="20"/>
        </w:rPr>
        <w:t xml:space="preserve">bat kol </w:t>
      </w:r>
      <w:r w:rsidRPr="00E54204">
        <w:rPr>
          <w:szCs w:val="20"/>
        </w:rPr>
        <w:t xml:space="preserve">in echoing the death of a woman’s husband.  The school of Hillel allegedly permitted it while the school of Shammai rejected it.  Later, when the two schools reached an impasse of sorts, the </w:t>
      </w:r>
      <w:r w:rsidRPr="00E54204">
        <w:rPr>
          <w:i/>
          <w:szCs w:val="20"/>
        </w:rPr>
        <w:t xml:space="preserve">bat kol </w:t>
      </w:r>
      <w:r w:rsidRPr="00E54204">
        <w:rPr>
          <w:szCs w:val="20"/>
        </w:rPr>
        <w:t xml:space="preserve">eased the tension by publicly endorsing the more gentile school of Hillel.  This story apparently became well known since, it is alluded to in various other stories that depict the contrasting view of Hillel and Shammai on any given matter.  The authority of the </w:t>
      </w:r>
      <w:r w:rsidRPr="00E54204">
        <w:rPr>
          <w:i/>
          <w:szCs w:val="20"/>
        </w:rPr>
        <w:t xml:space="preserve">bat kol </w:t>
      </w:r>
      <w:r w:rsidRPr="00E54204">
        <w:rPr>
          <w:szCs w:val="20"/>
        </w:rPr>
        <w:t>was not strong enough to overturn legal decisions, at least according to the story of the “oven of Aknai.”  Nevertheless, the story recounts how unsettled the world became due to R. Eliezer’s anger, to the point of killing his wife’s brother, R. Gamaliel.</w:t>
      </w:r>
    </w:p>
    <w:p w14:paraId="35989311" w14:textId="77777777" w:rsidR="00ED18D8" w:rsidRPr="00E54204" w:rsidRDefault="00ED18D8" w:rsidP="00ED18D8">
      <w:pPr>
        <w:spacing w:after="160"/>
        <w:rPr>
          <w:szCs w:val="20"/>
        </w:rPr>
      </w:pPr>
      <w:r w:rsidRPr="00E54204">
        <w:rPr>
          <w:szCs w:val="20"/>
        </w:rPr>
        <w:tab/>
        <w:t>There are other ta</w:t>
      </w:r>
      <w:r w:rsidR="008D646C" w:rsidRPr="00E54204">
        <w:rPr>
          <w:szCs w:val="20"/>
        </w:rPr>
        <w:t>les which vary in their message</w:t>
      </w:r>
      <w:r w:rsidRPr="00E54204">
        <w:rPr>
          <w:szCs w:val="20"/>
          <w:vertAlign w:val="superscript"/>
        </w:rPr>
        <w:footnoteReference w:id="436"/>
      </w:r>
      <w:r w:rsidR="007A5A70" w:rsidRPr="00E54204">
        <w:rPr>
          <w:szCs w:val="20"/>
        </w:rPr>
        <w:t xml:space="preserve"> s</w:t>
      </w:r>
      <w:r w:rsidR="008D646C" w:rsidRPr="00E54204">
        <w:rPr>
          <w:szCs w:val="20"/>
        </w:rPr>
        <w:t>uch as the story depicting a</w:t>
      </w:r>
      <w:r w:rsidRPr="00E54204">
        <w:rPr>
          <w:szCs w:val="20"/>
        </w:rPr>
        <w:t xml:space="preserve"> </w:t>
      </w:r>
      <w:r w:rsidRPr="00E54204">
        <w:rPr>
          <w:i/>
          <w:szCs w:val="20"/>
        </w:rPr>
        <w:t xml:space="preserve">bat kol </w:t>
      </w:r>
      <w:r w:rsidR="008D646C" w:rsidRPr="00E54204">
        <w:rPr>
          <w:szCs w:val="20"/>
        </w:rPr>
        <w:t>sounding off in</w:t>
      </w:r>
      <w:r w:rsidRPr="00E54204">
        <w:rPr>
          <w:szCs w:val="20"/>
        </w:rPr>
        <w:t xml:space="preserve"> the Holy of Holies with encouraging news to the priest.  We may infer that the te</w:t>
      </w:r>
      <w:r w:rsidR="00264AB8" w:rsidRPr="00E54204">
        <w:rPr>
          <w:szCs w:val="20"/>
        </w:rPr>
        <w:t>xt is implying that the service of John Hyrcanus and Simon the Righteous was somehow related to the military victories granted by God</w:t>
      </w:r>
      <w:r w:rsidRPr="00E54204">
        <w:rPr>
          <w:szCs w:val="20"/>
        </w:rPr>
        <w:t>.  Other types include more fable like stories of a rabbi outwitting the angel of death in withholding his knife from him, and the secrecy of the identity of the Messiah.</w:t>
      </w:r>
      <w:r w:rsidRPr="00E54204">
        <w:rPr>
          <w:szCs w:val="20"/>
          <w:vertAlign w:val="superscript"/>
        </w:rPr>
        <w:footnoteReference w:id="437"/>
      </w:r>
      <w:r w:rsidRPr="00E54204">
        <w:rPr>
          <w:szCs w:val="20"/>
        </w:rPr>
        <w:t xml:space="preserve">  </w:t>
      </w:r>
    </w:p>
    <w:p w14:paraId="394EB88F" w14:textId="77777777" w:rsidR="00ED18D8" w:rsidRPr="00E54204" w:rsidRDefault="00ED18D8" w:rsidP="00ED18D8">
      <w:pPr>
        <w:spacing w:after="160"/>
        <w:ind w:firstLine="720"/>
        <w:rPr>
          <w:szCs w:val="20"/>
        </w:rPr>
      </w:pPr>
      <w:r w:rsidRPr="00E54204">
        <w:rPr>
          <w:szCs w:val="20"/>
        </w:rPr>
        <w:t>I have sought to locate the stories into well-formed categories, despi</w:t>
      </w:r>
      <w:r w:rsidR="00966DC4" w:rsidRPr="00E54204">
        <w:rPr>
          <w:szCs w:val="20"/>
        </w:rPr>
        <w:t>te the fact that some stories may be placed in more than one category</w:t>
      </w:r>
      <w:r w:rsidRPr="00E54204">
        <w:rPr>
          <w:szCs w:val="20"/>
        </w:rPr>
        <w:t xml:space="preserve">.  I have sought to prove some other functions not typically spoken of in regards to the </w:t>
      </w:r>
      <w:r w:rsidRPr="00E54204">
        <w:rPr>
          <w:i/>
          <w:szCs w:val="20"/>
        </w:rPr>
        <w:t>bat kol</w:t>
      </w:r>
      <w:r w:rsidRPr="00E54204">
        <w:rPr>
          <w:szCs w:val="20"/>
        </w:rPr>
        <w:t>,</w:t>
      </w:r>
      <w:r w:rsidRPr="00E54204">
        <w:rPr>
          <w:i/>
          <w:szCs w:val="20"/>
        </w:rPr>
        <w:t xml:space="preserve"> </w:t>
      </w:r>
      <w:r w:rsidRPr="00E54204">
        <w:rPr>
          <w:szCs w:val="20"/>
        </w:rPr>
        <w:t xml:space="preserve">namely its place to announce judgment and its affiliation with </w:t>
      </w:r>
      <w:r w:rsidR="004B512C" w:rsidRPr="00E54204">
        <w:rPr>
          <w:i/>
          <w:szCs w:val="20"/>
        </w:rPr>
        <w:t>Halac</w:t>
      </w:r>
      <w:r w:rsidRPr="00E54204">
        <w:rPr>
          <w:i/>
          <w:szCs w:val="20"/>
        </w:rPr>
        <w:t xml:space="preserve">hic </w:t>
      </w:r>
      <w:r w:rsidRPr="00E54204">
        <w:rPr>
          <w:szCs w:val="20"/>
        </w:rPr>
        <w:t xml:space="preserve">episodes.  Moreover, I confirm what K. Lindbeck has already pointed out as two primary functions of the </w:t>
      </w:r>
      <w:r w:rsidRPr="00E54204">
        <w:rPr>
          <w:i/>
          <w:szCs w:val="20"/>
        </w:rPr>
        <w:t>bat kol</w:t>
      </w:r>
      <w:r w:rsidRPr="00E54204">
        <w:rPr>
          <w:szCs w:val="20"/>
        </w:rPr>
        <w:t>:  announcing someone’s earning eternal life, and praising an individual for their merit.</w:t>
      </w:r>
      <w:r w:rsidRPr="00E54204">
        <w:rPr>
          <w:szCs w:val="20"/>
          <w:vertAlign w:val="superscript"/>
        </w:rPr>
        <w:footnoteReference w:id="438"/>
      </w:r>
      <w:r w:rsidRPr="00E54204">
        <w:rPr>
          <w:szCs w:val="20"/>
        </w:rPr>
        <w:t xml:space="preserve">  Common themes and other literary features seem to reveal a creative editorial hand, by weaving together important themes, in more than one story.  The final chapter will be a summary and a final analysis of the phenomenon of the </w:t>
      </w:r>
      <w:r w:rsidRPr="00E54204">
        <w:rPr>
          <w:i/>
          <w:szCs w:val="20"/>
        </w:rPr>
        <w:t>bat kol</w:t>
      </w:r>
      <w:r w:rsidRPr="00E54204">
        <w:rPr>
          <w:szCs w:val="20"/>
        </w:rPr>
        <w:t>.</w:t>
      </w:r>
    </w:p>
    <w:p w14:paraId="1C0B276F" w14:textId="77777777" w:rsidR="00CF07FB" w:rsidRPr="00E54204" w:rsidRDefault="00CF07FB" w:rsidP="00CF07FB">
      <w:pPr>
        <w:spacing w:after="160"/>
        <w:rPr>
          <w:szCs w:val="20"/>
        </w:rPr>
      </w:pPr>
    </w:p>
    <w:p w14:paraId="72F48CDC" w14:textId="77777777" w:rsidR="00625C9D" w:rsidRPr="00E54204" w:rsidRDefault="00625C9D" w:rsidP="00CF07FB">
      <w:pPr>
        <w:spacing w:after="160"/>
        <w:jc w:val="center"/>
        <w:rPr>
          <w:b/>
          <w:szCs w:val="20"/>
        </w:rPr>
      </w:pPr>
    </w:p>
    <w:p w14:paraId="2ACCD553" w14:textId="77777777" w:rsidR="00625C9D" w:rsidRPr="00E54204" w:rsidRDefault="00625C9D" w:rsidP="00CF07FB">
      <w:pPr>
        <w:spacing w:after="160"/>
        <w:jc w:val="center"/>
        <w:rPr>
          <w:b/>
          <w:szCs w:val="20"/>
        </w:rPr>
      </w:pPr>
    </w:p>
    <w:p w14:paraId="0F209F4E" w14:textId="77777777" w:rsidR="0011693A" w:rsidRPr="00E54204" w:rsidRDefault="002F71E8" w:rsidP="008206BF">
      <w:pPr>
        <w:spacing w:after="160"/>
        <w:jc w:val="center"/>
        <w:rPr>
          <w:b/>
          <w:szCs w:val="20"/>
        </w:rPr>
      </w:pPr>
      <w:r w:rsidRPr="00E54204">
        <w:rPr>
          <w:b/>
          <w:szCs w:val="20"/>
        </w:rPr>
        <w:t>CONCLUSION</w:t>
      </w:r>
    </w:p>
    <w:p w14:paraId="718C381E" w14:textId="77777777" w:rsidR="0011693A" w:rsidRPr="00E54204" w:rsidRDefault="0011693A" w:rsidP="0011693A">
      <w:pPr>
        <w:spacing w:after="160"/>
        <w:ind w:firstLine="720"/>
        <w:rPr>
          <w:szCs w:val="20"/>
        </w:rPr>
      </w:pPr>
      <w:r w:rsidRPr="00E54204">
        <w:rPr>
          <w:szCs w:val="20"/>
        </w:rPr>
        <w:t>There are numerous ways to further this investigation.  For one, exploring and analyzing the vast number of instances found in Midrashic literature.</w:t>
      </w:r>
      <w:r w:rsidRPr="00E54204">
        <w:rPr>
          <w:szCs w:val="20"/>
          <w:vertAlign w:val="superscript"/>
        </w:rPr>
        <w:footnoteReference w:id="439"/>
      </w:r>
      <w:r w:rsidRPr="00E54204">
        <w:rPr>
          <w:szCs w:val="20"/>
        </w:rPr>
        <w:t xml:space="preserve">  </w:t>
      </w:r>
      <w:r w:rsidRPr="00E54204">
        <w:rPr>
          <w:i/>
          <w:szCs w:val="20"/>
        </w:rPr>
        <w:t>Tannaitic Midrashim</w:t>
      </w:r>
      <w:r w:rsidRPr="00E54204">
        <w:rPr>
          <w:szCs w:val="20"/>
        </w:rPr>
        <w:t xml:space="preserve"> are said to be from the period of the </w:t>
      </w:r>
      <w:r w:rsidRPr="00E54204">
        <w:rPr>
          <w:i/>
          <w:szCs w:val="20"/>
        </w:rPr>
        <w:t>Tannaim</w:t>
      </w:r>
      <w:r w:rsidRPr="00E54204">
        <w:rPr>
          <w:szCs w:val="20"/>
        </w:rPr>
        <w:t xml:space="preserve"> (ca. mid-first century BCE to third century CE)</w:t>
      </w:r>
      <w:r w:rsidRPr="00E54204">
        <w:rPr>
          <w:i/>
          <w:szCs w:val="20"/>
        </w:rPr>
        <w:t xml:space="preserve"> </w:t>
      </w:r>
      <w:r w:rsidRPr="00E54204">
        <w:rPr>
          <w:szCs w:val="20"/>
        </w:rPr>
        <w:t>with only four full extant traditions; two from the school of R. Akiva and two from the school of R. Ishmael.</w:t>
      </w:r>
      <w:r w:rsidRPr="00E54204">
        <w:rPr>
          <w:szCs w:val="20"/>
          <w:vertAlign w:val="superscript"/>
        </w:rPr>
        <w:footnoteReference w:id="440"/>
      </w:r>
      <w:r w:rsidRPr="00E54204">
        <w:rPr>
          <w:szCs w:val="20"/>
        </w:rPr>
        <w:t xml:space="preserve">  Moreover, there are other aspects surrounding the </w:t>
      </w:r>
      <w:r w:rsidRPr="00E54204">
        <w:rPr>
          <w:i/>
          <w:szCs w:val="20"/>
        </w:rPr>
        <w:t xml:space="preserve">bat kol </w:t>
      </w:r>
      <w:r w:rsidRPr="00E54204">
        <w:rPr>
          <w:szCs w:val="20"/>
        </w:rPr>
        <w:t xml:space="preserve">that went unaddressed, such as stories depicting a </w:t>
      </w:r>
      <w:r w:rsidRPr="00E54204">
        <w:rPr>
          <w:i/>
          <w:szCs w:val="20"/>
        </w:rPr>
        <w:t xml:space="preserve">bat kol </w:t>
      </w:r>
      <w:r w:rsidRPr="00E54204">
        <w:rPr>
          <w:szCs w:val="20"/>
        </w:rPr>
        <w:t>going forth daily from Mt. Horeb,</w:t>
      </w:r>
      <w:r w:rsidRPr="00E54204">
        <w:rPr>
          <w:szCs w:val="20"/>
          <w:vertAlign w:val="superscript"/>
        </w:rPr>
        <w:footnoteReference w:id="441"/>
      </w:r>
      <w:r w:rsidRPr="00E54204">
        <w:rPr>
          <w:szCs w:val="20"/>
        </w:rPr>
        <w:t xml:space="preserve"> and the few examples of its oracular use.  In addition, I am intrigued by</w:t>
      </w:r>
      <w:r w:rsidR="00CA1C0E" w:rsidRPr="00E54204">
        <w:rPr>
          <w:szCs w:val="20"/>
        </w:rPr>
        <w:t xml:space="preserve"> the</w:t>
      </w:r>
      <w:r w:rsidRPr="00E54204">
        <w:rPr>
          <w:szCs w:val="20"/>
        </w:rPr>
        <w:t xml:space="preserve"> parallels with Gospel literature and other Christian documents.</w:t>
      </w:r>
      <w:r w:rsidRPr="00E54204">
        <w:rPr>
          <w:szCs w:val="20"/>
          <w:vertAlign w:val="superscript"/>
        </w:rPr>
        <w:footnoteReference w:id="442"/>
      </w:r>
      <w:r w:rsidRPr="00E54204">
        <w:rPr>
          <w:szCs w:val="20"/>
        </w:rPr>
        <w:t xml:space="preserve">  Granted, these should be understood on their terms, such as authorship and intended audience.</w:t>
      </w:r>
      <w:r w:rsidR="00CA1C0E" w:rsidRPr="00E54204">
        <w:rPr>
          <w:szCs w:val="20"/>
        </w:rPr>
        <w:t xml:space="preserve">  However,</w:t>
      </w:r>
      <w:r w:rsidR="00C72AD2" w:rsidRPr="00E54204">
        <w:rPr>
          <w:szCs w:val="20"/>
        </w:rPr>
        <w:t xml:space="preserve"> in my opinion</w:t>
      </w:r>
      <w:r w:rsidR="00CA1C0E" w:rsidRPr="00E54204">
        <w:rPr>
          <w:szCs w:val="20"/>
        </w:rPr>
        <w:t xml:space="preserve"> these two camps should not be read in isolation to one another.  Essentially, these two groups vied</w:t>
      </w:r>
      <w:r w:rsidR="00C72AD2" w:rsidRPr="00E54204">
        <w:rPr>
          <w:szCs w:val="20"/>
        </w:rPr>
        <w:t xml:space="preserve"> for the rightful claim as the followers of the religion of Israel.  </w:t>
      </w:r>
      <w:r w:rsidRPr="00E54204">
        <w:rPr>
          <w:szCs w:val="20"/>
        </w:rPr>
        <w:t>Throughout this study I only referenced obvious simila</w:t>
      </w:r>
      <w:r w:rsidR="00C72AD2" w:rsidRPr="00E54204">
        <w:rPr>
          <w:szCs w:val="20"/>
        </w:rPr>
        <w:t>rities without adding further</w:t>
      </w:r>
      <w:r w:rsidRPr="00E54204">
        <w:rPr>
          <w:szCs w:val="20"/>
        </w:rPr>
        <w:t xml:space="preserve"> detail.  Nevertheless, I hope to have presented new perspectives in the study of legend in rabbinic texts.  </w:t>
      </w:r>
    </w:p>
    <w:p w14:paraId="2B51CD5D" w14:textId="77777777" w:rsidR="0011693A" w:rsidRPr="00E54204" w:rsidRDefault="0011693A" w:rsidP="0011693A">
      <w:pPr>
        <w:spacing w:after="160"/>
        <w:ind w:firstLine="720"/>
        <w:rPr>
          <w:szCs w:val="20"/>
        </w:rPr>
      </w:pPr>
      <w:r w:rsidRPr="00E54204">
        <w:rPr>
          <w:szCs w:val="20"/>
        </w:rPr>
        <w:t xml:space="preserve">The purpose of this inquiry was to carefully examine the presence of the </w:t>
      </w:r>
      <w:r w:rsidRPr="00E54204">
        <w:rPr>
          <w:i/>
          <w:szCs w:val="20"/>
        </w:rPr>
        <w:t>bat kol</w:t>
      </w:r>
      <w:r w:rsidRPr="00E54204">
        <w:rPr>
          <w:szCs w:val="20"/>
        </w:rPr>
        <w:t xml:space="preserve"> in the Bavli (Babylonian Talmud).  Despite being an ancient document, the Talmud (and specifically the Bavli) remains central to the practice and thought of Judaism.  Within this voluminous work is </w:t>
      </w:r>
      <w:r w:rsidRPr="00E54204">
        <w:rPr>
          <w:i/>
          <w:szCs w:val="20"/>
        </w:rPr>
        <w:t>Haggadah</w:t>
      </w:r>
      <w:r w:rsidRPr="00E54204">
        <w:rPr>
          <w:szCs w:val="20"/>
        </w:rPr>
        <w:t xml:space="preserve"> (rabbinic lore)</w:t>
      </w:r>
      <w:r w:rsidR="00C72AD2" w:rsidRPr="00E54204">
        <w:rPr>
          <w:szCs w:val="20"/>
        </w:rPr>
        <w:t xml:space="preserve">.  </w:t>
      </w:r>
      <w:r w:rsidRPr="00E54204">
        <w:rPr>
          <w:szCs w:val="20"/>
        </w:rPr>
        <w:t xml:space="preserve">I have analyzed </w:t>
      </w:r>
      <w:r w:rsidR="00C72AD2" w:rsidRPr="00E54204">
        <w:rPr>
          <w:szCs w:val="20"/>
        </w:rPr>
        <w:t xml:space="preserve">the </w:t>
      </w:r>
      <w:r w:rsidR="00C72AD2" w:rsidRPr="00E54204">
        <w:rPr>
          <w:i/>
          <w:szCs w:val="20"/>
        </w:rPr>
        <w:t xml:space="preserve">Haggadah </w:t>
      </w:r>
      <w:r w:rsidRPr="00E54204">
        <w:rPr>
          <w:szCs w:val="20"/>
        </w:rPr>
        <w:t>based on factors such as genre, language, and historical connections in order to best account for them.  It appears</w:t>
      </w:r>
      <w:r w:rsidR="00C72AD2" w:rsidRPr="00E54204">
        <w:rPr>
          <w:szCs w:val="20"/>
        </w:rPr>
        <w:t xml:space="preserve"> that</w:t>
      </w:r>
      <w:r w:rsidRPr="00E54204">
        <w:rPr>
          <w:szCs w:val="20"/>
        </w:rPr>
        <w:t xml:space="preserve"> the concept of the </w:t>
      </w:r>
      <w:r w:rsidRPr="00E54204">
        <w:rPr>
          <w:i/>
          <w:szCs w:val="20"/>
        </w:rPr>
        <w:t xml:space="preserve">bat kol </w:t>
      </w:r>
      <w:r w:rsidRPr="00E54204">
        <w:rPr>
          <w:szCs w:val="20"/>
        </w:rPr>
        <w:t>endures in some works of Jewish mysticism and philosophy, such as those by Judah Loew ben Bezalel (Maharal) who lived in the sixteenth century CE.</w:t>
      </w:r>
      <w:r w:rsidRPr="00E54204">
        <w:rPr>
          <w:szCs w:val="20"/>
          <w:vertAlign w:val="superscript"/>
        </w:rPr>
        <w:footnoteReference w:id="443"/>
      </w:r>
      <w:r w:rsidRPr="00E54204">
        <w:rPr>
          <w:szCs w:val="20"/>
        </w:rPr>
        <w:t xml:space="preserve">  Furthermore, the remembrance of the “ten martyrs” at certain solemn points of the year (i.e., Yom Kippur and Tish b’av) includes reading the accounts of the sages who were murdered during the first three hundred years of the CE in which the </w:t>
      </w:r>
      <w:r w:rsidRPr="00E54204">
        <w:rPr>
          <w:i/>
          <w:szCs w:val="20"/>
        </w:rPr>
        <w:t xml:space="preserve">bat kol </w:t>
      </w:r>
      <w:r w:rsidR="00C72AD2" w:rsidRPr="00E54204">
        <w:rPr>
          <w:szCs w:val="20"/>
        </w:rPr>
        <w:t>plays a central role</w:t>
      </w:r>
      <w:r w:rsidRPr="00E54204">
        <w:rPr>
          <w:szCs w:val="20"/>
        </w:rPr>
        <w:t>.</w:t>
      </w:r>
    </w:p>
    <w:p w14:paraId="7C402300" w14:textId="77777777" w:rsidR="0011693A" w:rsidRPr="00E54204" w:rsidRDefault="001474C0" w:rsidP="0011693A">
      <w:pPr>
        <w:spacing w:after="160"/>
        <w:ind w:firstLine="720"/>
        <w:rPr>
          <w:szCs w:val="20"/>
        </w:rPr>
      </w:pPr>
      <w:r w:rsidRPr="00E54204">
        <w:rPr>
          <w:szCs w:val="20"/>
        </w:rPr>
        <w:t>The rabbis asserted</w:t>
      </w:r>
      <w:r w:rsidR="0011693A" w:rsidRPr="00E54204">
        <w:rPr>
          <w:szCs w:val="20"/>
        </w:rPr>
        <w:t xml:space="preserve"> to have inherited divine authority to implement, revoke, and adjudicate life for the Jewish people.  In part, this was facilitated primarily by the national calamities of the destruction of the</w:t>
      </w:r>
      <w:r w:rsidR="00B0787E" w:rsidRPr="00E54204">
        <w:rPr>
          <w:szCs w:val="20"/>
        </w:rPr>
        <w:t xml:space="preserve"> Temple in 70 CE and the Bar Koch</w:t>
      </w:r>
      <w:r w:rsidR="0011693A" w:rsidRPr="00E54204">
        <w:rPr>
          <w:szCs w:val="20"/>
        </w:rPr>
        <w:t>hba rebellion and its subsequent defeat in 135 CE.  Such events gave way for the need of unification and stability for the Jewish people as reflected in rabbinic writings.  Means of reconciling evil and suffering had to b</w:t>
      </w:r>
      <w:r w:rsidRPr="00E54204">
        <w:rPr>
          <w:szCs w:val="20"/>
        </w:rPr>
        <w:t>e made available.</w:t>
      </w:r>
      <w:r w:rsidR="0011693A" w:rsidRPr="00E54204">
        <w:rPr>
          <w:szCs w:val="20"/>
        </w:rPr>
        <w:t xml:space="preserve">  A favorite didactic tool of the rabbis was </w:t>
      </w:r>
      <w:r w:rsidR="0011693A" w:rsidRPr="00E54204">
        <w:rPr>
          <w:i/>
          <w:szCs w:val="20"/>
        </w:rPr>
        <w:t>Haggadah</w:t>
      </w:r>
      <w:r w:rsidRPr="00E54204">
        <w:rPr>
          <w:szCs w:val="20"/>
        </w:rPr>
        <w:t xml:space="preserve"> which connected c</w:t>
      </w:r>
      <w:r w:rsidR="0011693A" w:rsidRPr="00E54204">
        <w:rPr>
          <w:szCs w:val="20"/>
        </w:rPr>
        <w:t>oncerns a</w:t>
      </w:r>
      <w:r w:rsidRPr="00E54204">
        <w:rPr>
          <w:szCs w:val="20"/>
        </w:rPr>
        <w:t xml:space="preserve">bout the present </w:t>
      </w:r>
      <w:r w:rsidR="0011693A" w:rsidRPr="00E54204">
        <w:rPr>
          <w:szCs w:val="20"/>
        </w:rPr>
        <w:t xml:space="preserve">with the past and the future.  The stories of the </w:t>
      </w:r>
      <w:r w:rsidR="0011693A" w:rsidRPr="00E54204">
        <w:rPr>
          <w:i/>
          <w:szCs w:val="20"/>
        </w:rPr>
        <w:t>bat kol</w:t>
      </w:r>
      <w:r w:rsidR="0011693A" w:rsidRPr="00E54204">
        <w:rPr>
          <w:szCs w:val="20"/>
        </w:rPr>
        <w:t xml:space="preserve"> visibly reflect traditional underpinnings of rabbinic lore and legend, such as depicting individuals as overly righteous or wicked in their tales.  Therefore, these stories may be more accurately understood not as precise historical narratives but creative and didactic homilies.  Notwithstanding, historical figures and tropes, such as persecution of the Jewish people by the Romans and the outlawing of the public teaching of Torah are interwoven in these stories.  </w:t>
      </w:r>
    </w:p>
    <w:p w14:paraId="438BBC5F" w14:textId="77777777" w:rsidR="0011693A" w:rsidRPr="00E54204" w:rsidRDefault="00D42229" w:rsidP="0011693A">
      <w:pPr>
        <w:spacing w:after="160"/>
        <w:rPr>
          <w:b/>
          <w:szCs w:val="20"/>
        </w:rPr>
      </w:pPr>
      <w:r w:rsidRPr="00E54204">
        <w:rPr>
          <w:b/>
          <w:szCs w:val="20"/>
        </w:rPr>
        <w:t>I.</w:t>
      </w:r>
      <w:r w:rsidRPr="00E54204">
        <w:rPr>
          <w:b/>
          <w:szCs w:val="20"/>
        </w:rPr>
        <w:tab/>
      </w:r>
      <w:r w:rsidR="008206BF" w:rsidRPr="00E54204">
        <w:rPr>
          <w:b/>
          <w:szCs w:val="20"/>
        </w:rPr>
        <w:t>Summary of LITERATURE REVIEW</w:t>
      </w:r>
      <w:r w:rsidR="00C35C57" w:rsidRPr="00E54204">
        <w:rPr>
          <w:b/>
          <w:szCs w:val="20"/>
        </w:rPr>
        <w:t xml:space="preserve"> chapter</w:t>
      </w:r>
    </w:p>
    <w:p w14:paraId="62C66EA3" w14:textId="77777777" w:rsidR="0011693A" w:rsidRPr="00E54204" w:rsidRDefault="0011693A" w:rsidP="0011693A">
      <w:pPr>
        <w:spacing w:after="160"/>
        <w:rPr>
          <w:szCs w:val="20"/>
        </w:rPr>
      </w:pPr>
      <w:r w:rsidRPr="00E54204">
        <w:rPr>
          <w:b/>
          <w:szCs w:val="20"/>
        </w:rPr>
        <w:tab/>
      </w:r>
      <w:r w:rsidRPr="00E54204">
        <w:rPr>
          <w:szCs w:val="20"/>
        </w:rPr>
        <w:t xml:space="preserve">The literature review highlighted the contributions of numerous and important scholarly works.  Most identify the </w:t>
      </w:r>
      <w:r w:rsidRPr="00E54204">
        <w:rPr>
          <w:i/>
          <w:szCs w:val="20"/>
        </w:rPr>
        <w:t>bat kol</w:t>
      </w:r>
      <w:r w:rsidRPr="00E54204">
        <w:rPr>
          <w:szCs w:val="20"/>
        </w:rPr>
        <w:t xml:space="preserve"> as a form of prophecy.  That is to say, it differs from Biblical prophecy in terms of message and form of inspiration</w:t>
      </w:r>
      <w:r w:rsidR="0011264C" w:rsidRPr="00E54204">
        <w:rPr>
          <w:szCs w:val="20"/>
        </w:rPr>
        <w:t xml:space="preserve"> which may explain the cognomen </w:t>
      </w:r>
      <w:r w:rsidR="0011264C" w:rsidRPr="00E54204">
        <w:rPr>
          <w:i/>
          <w:szCs w:val="20"/>
        </w:rPr>
        <w:t>bat</w:t>
      </w:r>
      <w:r w:rsidRPr="00E54204">
        <w:rPr>
          <w:szCs w:val="20"/>
        </w:rPr>
        <w:t xml:space="preserve">.  The </w:t>
      </w:r>
      <w:r w:rsidRPr="00E54204">
        <w:rPr>
          <w:i/>
          <w:szCs w:val="20"/>
        </w:rPr>
        <w:t xml:space="preserve">bat kol </w:t>
      </w:r>
      <w:r w:rsidRPr="00E54204">
        <w:rPr>
          <w:szCs w:val="20"/>
        </w:rPr>
        <w:t>is not personal and it does not instruct an individual to deliver a message to the people, rather it is often depicted appearing publicly and addressing a specific individual.  A few scholars, have suggested categories based on recurring themes in the stories.  I have fleshed out a category of individual praise and rebuke, while acknowledging that some stories exhibit their own unique function for the voice from heaven; such as preserving the identity of the Messiah, announcing that “so and so” is destined to marry “so and so” forty days before a child is born, and inciting Herod to rebel against his Hasmonean slave masters.</w:t>
      </w:r>
      <w:r w:rsidRPr="00E54204">
        <w:rPr>
          <w:i/>
          <w:szCs w:val="20"/>
        </w:rPr>
        <w:t xml:space="preserve">  </w:t>
      </w:r>
      <w:r w:rsidRPr="00E54204">
        <w:rPr>
          <w:szCs w:val="20"/>
        </w:rPr>
        <w:t xml:space="preserve"> </w:t>
      </w:r>
    </w:p>
    <w:p w14:paraId="718F5328" w14:textId="77777777" w:rsidR="0011693A" w:rsidRPr="00E54204" w:rsidRDefault="00D42229" w:rsidP="0011693A">
      <w:pPr>
        <w:spacing w:after="160"/>
        <w:rPr>
          <w:b/>
          <w:szCs w:val="20"/>
        </w:rPr>
      </w:pPr>
      <w:r w:rsidRPr="00E54204">
        <w:rPr>
          <w:b/>
          <w:szCs w:val="20"/>
        </w:rPr>
        <w:t>II.</w:t>
      </w:r>
      <w:r w:rsidRPr="00E54204">
        <w:rPr>
          <w:b/>
          <w:szCs w:val="20"/>
        </w:rPr>
        <w:tab/>
      </w:r>
      <w:r w:rsidR="008206BF" w:rsidRPr="00E54204">
        <w:rPr>
          <w:b/>
          <w:szCs w:val="20"/>
        </w:rPr>
        <w:t>Summary of ORIGINS</w:t>
      </w:r>
      <w:r w:rsidR="00C35C57" w:rsidRPr="00E54204">
        <w:rPr>
          <w:b/>
          <w:szCs w:val="20"/>
        </w:rPr>
        <w:t xml:space="preserve"> chapter</w:t>
      </w:r>
    </w:p>
    <w:p w14:paraId="22760D9C" w14:textId="77777777" w:rsidR="0011264C" w:rsidRPr="00E54204" w:rsidRDefault="00275A3D" w:rsidP="0011693A">
      <w:pPr>
        <w:spacing w:after="160"/>
        <w:rPr>
          <w:szCs w:val="20"/>
        </w:rPr>
      </w:pPr>
      <w:r w:rsidRPr="00E54204">
        <w:rPr>
          <w:szCs w:val="20"/>
        </w:rPr>
        <w:tab/>
        <w:t>This</w:t>
      </w:r>
      <w:r w:rsidR="0011693A" w:rsidRPr="00E54204">
        <w:rPr>
          <w:szCs w:val="20"/>
        </w:rPr>
        <w:t xml:space="preserve"> chapter sought to make connections with other relevant, contemporaneous literatures.  Once again I found the most resemblance with Biblical stories and Second Temple apocalyptic works.  Hellenistic sources also exhibit themes pertinent to the </w:t>
      </w:r>
      <w:r w:rsidR="0011693A" w:rsidRPr="00E54204">
        <w:rPr>
          <w:i/>
          <w:szCs w:val="20"/>
        </w:rPr>
        <w:t>bat kol</w:t>
      </w:r>
      <w:r w:rsidR="0011693A" w:rsidRPr="00E54204">
        <w:rPr>
          <w:szCs w:val="20"/>
        </w:rPr>
        <w:t>; voices echoing from temples and panegyric stories</w:t>
      </w:r>
      <w:r w:rsidR="0011264C" w:rsidRPr="00E54204">
        <w:rPr>
          <w:szCs w:val="20"/>
        </w:rPr>
        <w:t>, however these were not explored in-depth</w:t>
      </w:r>
      <w:r w:rsidR="0011693A" w:rsidRPr="00E54204">
        <w:rPr>
          <w:szCs w:val="20"/>
        </w:rPr>
        <w:t xml:space="preserve">.  </w:t>
      </w:r>
    </w:p>
    <w:p w14:paraId="25F4D8B0" w14:textId="77777777" w:rsidR="0011693A" w:rsidRPr="00E54204" w:rsidRDefault="0011264C" w:rsidP="0011264C">
      <w:pPr>
        <w:spacing w:after="160"/>
        <w:ind w:firstLine="720"/>
        <w:rPr>
          <w:szCs w:val="20"/>
        </w:rPr>
      </w:pPr>
      <w:r w:rsidRPr="00E54204">
        <w:rPr>
          <w:szCs w:val="20"/>
        </w:rPr>
        <w:t>In addition, t</w:t>
      </w:r>
      <w:r w:rsidR="0011693A" w:rsidRPr="00E54204">
        <w:rPr>
          <w:szCs w:val="20"/>
        </w:rPr>
        <w:t>hough we do not find the wording “daughter of a voice”</w:t>
      </w:r>
      <w:r w:rsidRPr="00E54204">
        <w:rPr>
          <w:szCs w:val="20"/>
        </w:rPr>
        <w:t xml:space="preserve"> in any other work</w:t>
      </w:r>
      <w:r w:rsidR="0011693A" w:rsidRPr="00E54204">
        <w:rPr>
          <w:szCs w:val="20"/>
        </w:rPr>
        <w:t xml:space="preserve"> we did observe parallel functions.   Perhaps the most convincing case stems from the book of Daniel where a voice from heaven addresses Ne</w:t>
      </w:r>
      <w:r w:rsidRPr="00E54204">
        <w:rPr>
          <w:szCs w:val="20"/>
        </w:rPr>
        <w:t xml:space="preserve">buchadnezzar with </w:t>
      </w:r>
      <w:r w:rsidR="0011693A" w:rsidRPr="00E54204">
        <w:rPr>
          <w:szCs w:val="20"/>
        </w:rPr>
        <w:t xml:space="preserve">a word of judgment.  I noticed how the </w:t>
      </w:r>
      <w:r w:rsidR="0011693A" w:rsidRPr="00E54204">
        <w:rPr>
          <w:i/>
          <w:szCs w:val="20"/>
        </w:rPr>
        <w:t xml:space="preserve">bat kol </w:t>
      </w:r>
      <w:r w:rsidR="0011693A" w:rsidRPr="00E54204">
        <w:rPr>
          <w:szCs w:val="20"/>
        </w:rPr>
        <w:t>is similarly employed, including the same Biblical character.  The stories of Isaac and Ishmael, also offered insight as to the random appearance of a heavenly voices.  Interestingly enough, the identity of the speaker is ambiguous, at certain points referring to God’s messen</w:t>
      </w:r>
      <w:r w:rsidRPr="00E54204">
        <w:rPr>
          <w:szCs w:val="20"/>
        </w:rPr>
        <w:t>ger and in other points describes</w:t>
      </w:r>
      <w:r w:rsidR="0011693A" w:rsidRPr="00E54204">
        <w:rPr>
          <w:szCs w:val="20"/>
        </w:rPr>
        <w:t xml:space="preserve"> God speaking in the first-person.   </w:t>
      </w:r>
    </w:p>
    <w:p w14:paraId="3D29A890" w14:textId="77777777" w:rsidR="0011264C" w:rsidRPr="00E54204" w:rsidRDefault="0011693A" w:rsidP="0011693A">
      <w:pPr>
        <w:spacing w:after="160"/>
        <w:rPr>
          <w:szCs w:val="20"/>
        </w:rPr>
      </w:pPr>
      <w:r w:rsidRPr="00E54204">
        <w:rPr>
          <w:szCs w:val="20"/>
        </w:rPr>
        <w:tab/>
        <w:t xml:space="preserve"> In addition, the anonymity of the speaker protects against possible heresies that may </w:t>
      </w:r>
      <w:r w:rsidR="00C8268A" w:rsidRPr="00E54204">
        <w:rPr>
          <w:szCs w:val="20"/>
        </w:rPr>
        <w:t>derive from such a messenger, s</w:t>
      </w:r>
      <w:r w:rsidRPr="00E54204">
        <w:rPr>
          <w:szCs w:val="20"/>
        </w:rPr>
        <w:t>uch as misconstruing the agent as an equal power with God.</w:t>
      </w:r>
      <w:r w:rsidRPr="00E54204">
        <w:rPr>
          <w:szCs w:val="20"/>
          <w:vertAlign w:val="superscript"/>
        </w:rPr>
        <w:footnoteReference w:id="444"/>
      </w:r>
      <w:r w:rsidRPr="00E54204">
        <w:rPr>
          <w:szCs w:val="20"/>
        </w:rPr>
        <w:t xml:space="preserve">  In other words the rabbis may have attributed to this “voice” a less</w:t>
      </w:r>
      <w:r w:rsidR="0011264C" w:rsidRPr="00E54204">
        <w:rPr>
          <w:szCs w:val="20"/>
        </w:rPr>
        <w:t xml:space="preserve"> authoritative title</w:t>
      </w:r>
      <w:r w:rsidRPr="00E54204">
        <w:rPr>
          <w:szCs w:val="20"/>
        </w:rPr>
        <w:t xml:space="preserve"> in order for it not </w:t>
      </w:r>
      <w:r w:rsidR="0011264C" w:rsidRPr="00E54204">
        <w:rPr>
          <w:szCs w:val="20"/>
        </w:rPr>
        <w:t xml:space="preserve">to be automatically construed with the Holy Spirit or God’s own </w:t>
      </w:r>
      <w:r w:rsidRPr="00E54204">
        <w:rPr>
          <w:szCs w:val="20"/>
        </w:rPr>
        <w:t xml:space="preserve">voice.  Hence, this may explain the reasoning behind the selecting the term </w:t>
      </w:r>
      <w:r w:rsidRPr="00E54204">
        <w:rPr>
          <w:i/>
          <w:szCs w:val="20"/>
        </w:rPr>
        <w:t>bat</w:t>
      </w:r>
      <w:r w:rsidR="0011264C" w:rsidRPr="00E54204">
        <w:rPr>
          <w:szCs w:val="20"/>
        </w:rPr>
        <w:t xml:space="preserve"> (lit. daughter); even though</w:t>
      </w:r>
      <w:r w:rsidRPr="00E54204">
        <w:rPr>
          <w:szCs w:val="20"/>
        </w:rPr>
        <w:t xml:space="preserve"> the </w:t>
      </w:r>
      <w:r w:rsidRPr="00E54204">
        <w:rPr>
          <w:i/>
          <w:szCs w:val="20"/>
        </w:rPr>
        <w:t xml:space="preserve">bat kol </w:t>
      </w:r>
      <w:r w:rsidRPr="00E54204">
        <w:rPr>
          <w:szCs w:val="20"/>
        </w:rPr>
        <w:t>is sometimes used</w:t>
      </w:r>
      <w:r w:rsidR="0011264C" w:rsidRPr="00E54204">
        <w:rPr>
          <w:szCs w:val="20"/>
        </w:rPr>
        <w:t xml:space="preserve"> interchangeably with God and</w:t>
      </w:r>
      <w:r w:rsidRPr="00E54204">
        <w:rPr>
          <w:szCs w:val="20"/>
        </w:rPr>
        <w:t xml:space="preserve"> the Holy Spirit.  In this fashion, it mimics the mystery of God’s theophanies in the Biblical time period when at times God’s messenger spoke in H</w:t>
      </w:r>
      <w:r w:rsidR="0011264C" w:rsidRPr="00E54204">
        <w:rPr>
          <w:szCs w:val="20"/>
        </w:rPr>
        <w:t xml:space="preserve">is very place and with His </w:t>
      </w:r>
      <w:r w:rsidRPr="00E54204">
        <w:rPr>
          <w:szCs w:val="20"/>
        </w:rPr>
        <w:t>authority.  The following chapter will explore discernable categories within the text of the Babylonian Talmud.</w:t>
      </w:r>
    </w:p>
    <w:p w14:paraId="023460E0" w14:textId="77777777" w:rsidR="0011264C" w:rsidRPr="00E54204" w:rsidRDefault="0011264C" w:rsidP="0011693A">
      <w:pPr>
        <w:spacing w:after="160"/>
        <w:rPr>
          <w:szCs w:val="20"/>
        </w:rPr>
      </w:pPr>
    </w:p>
    <w:p w14:paraId="2E752C92" w14:textId="77777777" w:rsidR="0011693A" w:rsidRPr="00E54204" w:rsidRDefault="0011693A" w:rsidP="0011693A">
      <w:pPr>
        <w:spacing w:after="160"/>
        <w:rPr>
          <w:szCs w:val="20"/>
        </w:rPr>
      </w:pPr>
      <w:r w:rsidRPr="00E54204">
        <w:rPr>
          <w:szCs w:val="20"/>
        </w:rPr>
        <w:t xml:space="preserve">    </w:t>
      </w:r>
    </w:p>
    <w:p w14:paraId="603BA38C" w14:textId="77777777" w:rsidR="0011693A" w:rsidRPr="00E54204" w:rsidRDefault="00D42229" w:rsidP="0011693A">
      <w:pPr>
        <w:spacing w:after="160"/>
        <w:rPr>
          <w:b/>
          <w:szCs w:val="20"/>
        </w:rPr>
      </w:pPr>
      <w:r w:rsidRPr="00E54204">
        <w:rPr>
          <w:b/>
          <w:szCs w:val="20"/>
        </w:rPr>
        <w:t>III.</w:t>
      </w:r>
      <w:r w:rsidRPr="00E54204">
        <w:rPr>
          <w:b/>
          <w:szCs w:val="20"/>
        </w:rPr>
        <w:tab/>
      </w:r>
      <w:r w:rsidR="008206BF" w:rsidRPr="00E54204">
        <w:rPr>
          <w:b/>
          <w:szCs w:val="20"/>
        </w:rPr>
        <w:t>Summary of CATEGORIES</w:t>
      </w:r>
      <w:r w:rsidR="00C35C57" w:rsidRPr="00E54204">
        <w:rPr>
          <w:b/>
          <w:szCs w:val="20"/>
        </w:rPr>
        <w:t xml:space="preserve"> chapter</w:t>
      </w:r>
    </w:p>
    <w:p w14:paraId="6AFE1FC7" w14:textId="77777777" w:rsidR="0011693A" w:rsidRPr="00E54204" w:rsidRDefault="0011693A" w:rsidP="0011693A">
      <w:pPr>
        <w:spacing w:after="160"/>
        <w:ind w:firstLine="720"/>
        <w:rPr>
          <w:szCs w:val="20"/>
        </w:rPr>
      </w:pPr>
      <w:r w:rsidRPr="00E54204">
        <w:rPr>
          <w:szCs w:val="20"/>
        </w:rPr>
        <w:t xml:space="preserve">Throughout the chapter on categories summary, I presented samples from various types of categories which I believe represent common themes.  The first pertained to the </w:t>
      </w:r>
      <w:r w:rsidRPr="00E54204">
        <w:rPr>
          <w:i/>
          <w:szCs w:val="20"/>
        </w:rPr>
        <w:t xml:space="preserve">bat kol </w:t>
      </w:r>
      <w:r w:rsidRPr="00E54204">
        <w:rPr>
          <w:szCs w:val="20"/>
        </w:rPr>
        <w:t>announcing entry into the world to come or ratification that “so and so” is destined for the world to come.  This is most emphatically declared upon a righteous pe</w:t>
      </w:r>
      <w:r w:rsidR="0011264C" w:rsidRPr="00E54204">
        <w:rPr>
          <w:szCs w:val="20"/>
        </w:rPr>
        <w:t>rson dying or being killed</w:t>
      </w:r>
      <w:r w:rsidRPr="00E54204">
        <w:rPr>
          <w:szCs w:val="20"/>
        </w:rPr>
        <w:t xml:space="preserve">, with the standard phrase, “so-and-so is destined to the world to come!”  Several stories weave together details that </w:t>
      </w:r>
      <w:r w:rsidR="0011264C" w:rsidRPr="00E54204">
        <w:rPr>
          <w:szCs w:val="20"/>
        </w:rPr>
        <w:t>may be understood to refer to</w:t>
      </w:r>
      <w:r w:rsidRPr="00E54204">
        <w:rPr>
          <w:szCs w:val="20"/>
        </w:rPr>
        <w:t xml:space="preserve"> historical realities:</w:t>
      </w:r>
      <w:r w:rsidRPr="00E54204">
        <w:rPr>
          <w:szCs w:val="20"/>
          <w:vertAlign w:val="superscript"/>
        </w:rPr>
        <w:footnoteReference w:id="445"/>
      </w:r>
      <w:r w:rsidRPr="00E54204">
        <w:rPr>
          <w:szCs w:val="20"/>
        </w:rPr>
        <w:t xml:space="preserve"> wicked governments, persecution of the Jews and the outlawing of Torah teaching.</w:t>
      </w:r>
    </w:p>
    <w:p w14:paraId="3216010B" w14:textId="77777777" w:rsidR="0011693A" w:rsidRPr="00E54204" w:rsidRDefault="0011693A" w:rsidP="0011693A">
      <w:pPr>
        <w:spacing w:after="160"/>
        <w:ind w:firstLine="720"/>
        <w:rPr>
          <w:szCs w:val="20"/>
        </w:rPr>
      </w:pPr>
      <w:r w:rsidRPr="00E54204">
        <w:rPr>
          <w:szCs w:val="20"/>
        </w:rPr>
        <w:t>Stories were</w:t>
      </w:r>
      <w:r w:rsidR="00AE4B5E" w:rsidRPr="00E54204">
        <w:rPr>
          <w:szCs w:val="20"/>
        </w:rPr>
        <w:t xml:space="preserve"> also</w:t>
      </w:r>
      <w:r w:rsidRPr="00E54204">
        <w:rPr>
          <w:szCs w:val="20"/>
        </w:rPr>
        <w:t xml:space="preserve"> r</w:t>
      </w:r>
      <w:r w:rsidR="00AE4B5E" w:rsidRPr="00E54204">
        <w:rPr>
          <w:szCs w:val="20"/>
        </w:rPr>
        <w:t>ecorded in which rabbis known</w:t>
      </w:r>
      <w:r w:rsidRPr="00E54204">
        <w:rPr>
          <w:szCs w:val="20"/>
        </w:rPr>
        <w:t xml:space="preserve"> for their humility, modesty, and kindness were picked out as worthy recipients of God’s Holy Spirit</w:t>
      </w:r>
      <w:r w:rsidR="00AE4B5E" w:rsidRPr="00E54204">
        <w:rPr>
          <w:szCs w:val="20"/>
        </w:rPr>
        <w:t xml:space="preserve"> via the </w:t>
      </w:r>
      <w:r w:rsidR="00AE4B5E" w:rsidRPr="00E54204">
        <w:rPr>
          <w:i/>
          <w:szCs w:val="20"/>
        </w:rPr>
        <w:t>bat kol</w:t>
      </w:r>
      <w:r w:rsidRPr="00E54204">
        <w:rPr>
          <w:szCs w:val="20"/>
        </w:rPr>
        <w:t>.  We find these views repeated in other parts of th</w:t>
      </w:r>
      <w:r w:rsidR="00AE4B5E" w:rsidRPr="00E54204">
        <w:rPr>
          <w:szCs w:val="20"/>
        </w:rPr>
        <w:t>e rabbinic milieu.  It seems</w:t>
      </w:r>
      <w:r w:rsidRPr="00E54204">
        <w:rPr>
          <w:szCs w:val="20"/>
        </w:rPr>
        <w:t xml:space="preserve"> that the rabbis enjoyed sharing these stories in</w:t>
      </w:r>
      <w:r w:rsidR="00AE4B5E" w:rsidRPr="00E54204">
        <w:rPr>
          <w:szCs w:val="20"/>
        </w:rPr>
        <w:t xml:space="preserve"> which noble individuals were</w:t>
      </w:r>
      <w:r w:rsidRPr="00E54204">
        <w:rPr>
          <w:szCs w:val="20"/>
        </w:rPr>
        <w:t xml:space="preserve"> generously praise</w:t>
      </w:r>
      <w:r w:rsidR="00AE4B5E" w:rsidRPr="00E54204">
        <w:rPr>
          <w:szCs w:val="20"/>
        </w:rPr>
        <w:t xml:space="preserve">d.  Conversely, </w:t>
      </w:r>
      <w:r w:rsidRPr="00E54204">
        <w:rPr>
          <w:szCs w:val="20"/>
        </w:rPr>
        <w:t>evil</w:t>
      </w:r>
      <w:r w:rsidR="00AE4B5E" w:rsidRPr="00E54204">
        <w:rPr>
          <w:szCs w:val="20"/>
        </w:rPr>
        <w:t xml:space="preserve"> individuals</w:t>
      </w:r>
      <w:r w:rsidRPr="00E54204">
        <w:rPr>
          <w:szCs w:val="20"/>
        </w:rPr>
        <w:t xml:space="preserve"> were considered seriously depraved.  The rabbis </w:t>
      </w:r>
      <w:r w:rsidR="00AE4B5E" w:rsidRPr="00E54204">
        <w:rPr>
          <w:szCs w:val="20"/>
        </w:rPr>
        <w:t>greatly expounded on individual behavior</w:t>
      </w:r>
      <w:r w:rsidRPr="00E54204">
        <w:rPr>
          <w:szCs w:val="20"/>
        </w:rPr>
        <w:t xml:space="preserve"> for better or for worse.  Nebuchadnezzar is an iconic figures in this category who is even associated with Titus</w:t>
      </w:r>
      <w:r w:rsidR="00AE4B5E" w:rsidRPr="00E54204">
        <w:rPr>
          <w:szCs w:val="20"/>
        </w:rPr>
        <w:t xml:space="preserve"> (the Roman general attributed with destroying the Temple in 70 AD)</w:t>
      </w:r>
      <w:r w:rsidR="00FD35CD" w:rsidRPr="00E54204">
        <w:rPr>
          <w:szCs w:val="20"/>
        </w:rPr>
        <w:t>.  T</w:t>
      </w:r>
      <w:r w:rsidRPr="00E54204">
        <w:rPr>
          <w:szCs w:val="20"/>
        </w:rPr>
        <w:t xml:space="preserve">he </w:t>
      </w:r>
      <w:r w:rsidRPr="00E54204">
        <w:rPr>
          <w:i/>
          <w:szCs w:val="20"/>
        </w:rPr>
        <w:t xml:space="preserve">bat kol </w:t>
      </w:r>
      <w:r w:rsidRPr="00E54204">
        <w:rPr>
          <w:szCs w:val="20"/>
        </w:rPr>
        <w:t>repeatedly informs</w:t>
      </w:r>
      <w:r w:rsidR="00FD35CD" w:rsidRPr="00E54204">
        <w:rPr>
          <w:szCs w:val="20"/>
        </w:rPr>
        <w:t xml:space="preserve"> these two characters </w:t>
      </w:r>
      <w:r w:rsidRPr="00E54204">
        <w:rPr>
          <w:szCs w:val="20"/>
        </w:rPr>
        <w:t xml:space="preserve">of their due penalties.  The </w:t>
      </w:r>
      <w:r w:rsidRPr="00E54204">
        <w:rPr>
          <w:i/>
          <w:szCs w:val="20"/>
        </w:rPr>
        <w:t xml:space="preserve">bat kol </w:t>
      </w:r>
      <w:r w:rsidRPr="00E54204">
        <w:rPr>
          <w:szCs w:val="20"/>
        </w:rPr>
        <w:t>is attested to having been active during the Biblical period as well as during the times of the sages</w:t>
      </w:r>
      <w:r w:rsidR="00FD35CD" w:rsidRPr="00E54204">
        <w:rPr>
          <w:szCs w:val="20"/>
        </w:rPr>
        <w:t xml:space="preserve"> in these stories</w:t>
      </w:r>
      <w:r w:rsidRPr="00E54204">
        <w:rPr>
          <w:szCs w:val="20"/>
        </w:rPr>
        <w:t xml:space="preserve">.  </w:t>
      </w:r>
    </w:p>
    <w:p w14:paraId="1132BE44" w14:textId="77777777" w:rsidR="0011693A" w:rsidRPr="00E54204" w:rsidRDefault="0011693A" w:rsidP="0011693A">
      <w:pPr>
        <w:spacing w:after="160"/>
        <w:rPr>
          <w:szCs w:val="20"/>
        </w:rPr>
      </w:pPr>
      <w:r w:rsidRPr="00E54204">
        <w:rPr>
          <w:szCs w:val="20"/>
        </w:rPr>
        <w:tab/>
        <w:t xml:space="preserve">The </w:t>
      </w:r>
      <w:r w:rsidRPr="00E54204">
        <w:rPr>
          <w:i/>
          <w:szCs w:val="20"/>
        </w:rPr>
        <w:t xml:space="preserve">bat kol </w:t>
      </w:r>
      <w:r w:rsidR="00423384" w:rsidRPr="00E54204">
        <w:rPr>
          <w:szCs w:val="20"/>
        </w:rPr>
        <w:t>is also read in discussions</w:t>
      </w:r>
      <w:r w:rsidRPr="00E54204">
        <w:rPr>
          <w:szCs w:val="20"/>
        </w:rPr>
        <w:t xml:space="preserve"> pertaining to </w:t>
      </w:r>
      <w:r w:rsidR="00EF69C7" w:rsidRPr="00E54204">
        <w:rPr>
          <w:i/>
          <w:szCs w:val="20"/>
        </w:rPr>
        <w:t>Halac</w:t>
      </w:r>
      <w:r w:rsidRPr="00E54204">
        <w:rPr>
          <w:i/>
          <w:szCs w:val="20"/>
        </w:rPr>
        <w:t>ha</w:t>
      </w:r>
      <w:r w:rsidRPr="00E54204">
        <w:rPr>
          <w:szCs w:val="20"/>
        </w:rPr>
        <w:t xml:space="preserve">.  Mishnaic statements seem to support the validity of a </w:t>
      </w:r>
      <w:r w:rsidRPr="00E54204">
        <w:rPr>
          <w:i/>
          <w:szCs w:val="20"/>
        </w:rPr>
        <w:t xml:space="preserve">bat kol </w:t>
      </w:r>
      <w:r w:rsidRPr="00E54204">
        <w:rPr>
          <w:szCs w:val="20"/>
        </w:rPr>
        <w:t>in pronouncing the death of a woman’s husband.  The school of Hillel permitted it while the school of Shammai did not.</w:t>
      </w:r>
      <w:r w:rsidRPr="00E54204">
        <w:rPr>
          <w:szCs w:val="20"/>
          <w:vertAlign w:val="superscript"/>
        </w:rPr>
        <w:footnoteReference w:id="446"/>
      </w:r>
      <w:r w:rsidRPr="00E54204">
        <w:rPr>
          <w:szCs w:val="20"/>
        </w:rPr>
        <w:t xml:space="preserve">  Later, when the two schools reached an impasse of sorts, the </w:t>
      </w:r>
      <w:r w:rsidRPr="00E54204">
        <w:rPr>
          <w:i/>
          <w:szCs w:val="20"/>
        </w:rPr>
        <w:t xml:space="preserve">bat kol </w:t>
      </w:r>
      <w:r w:rsidRPr="00E54204">
        <w:rPr>
          <w:szCs w:val="20"/>
        </w:rPr>
        <w:t xml:space="preserve">eased the tension by publicly endorsing the more lenient-ruling school of Hillel.  This story apparently became well known since, it is alluded to in various other stories that depict the contrasting view of Hillel and Shammai on any given matter.  The authority of the </w:t>
      </w:r>
      <w:r w:rsidRPr="00E54204">
        <w:rPr>
          <w:i/>
          <w:szCs w:val="20"/>
        </w:rPr>
        <w:t xml:space="preserve">bat kol </w:t>
      </w:r>
      <w:r w:rsidRPr="00E54204">
        <w:rPr>
          <w:szCs w:val="20"/>
        </w:rPr>
        <w:t>was not strong enough to overturn legal decisions, at least according to the story of the “oven of Aknai.”  Nevertheless, the story recounts how the world suffer</w:t>
      </w:r>
      <w:r w:rsidR="00423384" w:rsidRPr="00E54204">
        <w:rPr>
          <w:szCs w:val="20"/>
        </w:rPr>
        <w:t>ed due to the injustice R. Eliezer suffered on the behalf of his colleagues</w:t>
      </w:r>
      <w:r w:rsidRPr="00E54204">
        <w:rPr>
          <w:szCs w:val="20"/>
        </w:rPr>
        <w:t xml:space="preserve">.  </w:t>
      </w:r>
    </w:p>
    <w:p w14:paraId="62BA042D" w14:textId="77777777" w:rsidR="0011693A" w:rsidRPr="00E54204" w:rsidRDefault="0011693A" w:rsidP="0011693A">
      <w:pPr>
        <w:spacing w:after="160"/>
        <w:ind w:firstLine="720"/>
        <w:rPr>
          <w:szCs w:val="20"/>
        </w:rPr>
      </w:pPr>
      <w:r w:rsidRPr="00E54204">
        <w:rPr>
          <w:szCs w:val="20"/>
        </w:rPr>
        <w:t>There are other tales which vary in their message and do not neatly fit into one of the aforementioned subgroups.</w:t>
      </w:r>
      <w:r w:rsidRPr="00E54204">
        <w:rPr>
          <w:szCs w:val="20"/>
          <w:vertAlign w:val="superscript"/>
        </w:rPr>
        <w:footnoteReference w:id="447"/>
      </w:r>
      <w:r w:rsidRPr="00E54204">
        <w:rPr>
          <w:szCs w:val="20"/>
        </w:rPr>
        <w:t xml:space="preserve">  </w:t>
      </w:r>
      <w:r w:rsidR="00B12F46" w:rsidRPr="00E54204">
        <w:rPr>
          <w:szCs w:val="20"/>
        </w:rPr>
        <w:t>This includes incidents s</w:t>
      </w:r>
      <w:r w:rsidRPr="00E54204">
        <w:rPr>
          <w:szCs w:val="20"/>
        </w:rPr>
        <w:t>uch as the story</w:t>
      </w:r>
      <w:r w:rsidR="00295FEC" w:rsidRPr="00E54204">
        <w:rPr>
          <w:szCs w:val="20"/>
        </w:rPr>
        <w:t xml:space="preserve"> which depicts</w:t>
      </w:r>
      <w:r w:rsidRPr="00E54204">
        <w:rPr>
          <w:szCs w:val="20"/>
        </w:rPr>
        <w:t xml:space="preserve"> the </w:t>
      </w:r>
      <w:r w:rsidRPr="00E54204">
        <w:rPr>
          <w:i/>
          <w:szCs w:val="20"/>
        </w:rPr>
        <w:t xml:space="preserve">bat kol </w:t>
      </w:r>
      <w:r w:rsidR="00295FEC" w:rsidRPr="00E54204">
        <w:rPr>
          <w:szCs w:val="20"/>
        </w:rPr>
        <w:t>sounding off in</w:t>
      </w:r>
      <w:r w:rsidRPr="00E54204">
        <w:rPr>
          <w:szCs w:val="20"/>
        </w:rPr>
        <w:t xml:space="preserve"> the</w:t>
      </w:r>
      <w:r w:rsidR="00B12F46" w:rsidRPr="00E54204">
        <w:rPr>
          <w:szCs w:val="20"/>
        </w:rPr>
        <w:t xml:space="preserve"> Holy of Holies with good</w:t>
      </w:r>
      <w:r w:rsidRPr="00E54204">
        <w:rPr>
          <w:szCs w:val="20"/>
        </w:rPr>
        <w:t xml:space="preserve"> news for the priest.  Others include more fable-like stories of a rabbi outwitting the angel of death and procuring his knife, and the</w:t>
      </w:r>
      <w:r w:rsidR="00E05F1B" w:rsidRPr="00E54204">
        <w:rPr>
          <w:szCs w:val="20"/>
        </w:rPr>
        <w:t xml:space="preserve"> preservation of </w:t>
      </w:r>
      <w:r w:rsidRPr="00E54204">
        <w:rPr>
          <w:szCs w:val="20"/>
        </w:rPr>
        <w:t>the</w:t>
      </w:r>
      <w:r w:rsidR="00295FEC" w:rsidRPr="00E54204">
        <w:rPr>
          <w:szCs w:val="20"/>
        </w:rPr>
        <w:t xml:space="preserve"> hidden identity of the</w:t>
      </w:r>
      <w:r w:rsidRPr="00E54204">
        <w:rPr>
          <w:szCs w:val="20"/>
        </w:rPr>
        <w:t xml:space="preserve"> Messiah.</w:t>
      </w:r>
      <w:r w:rsidRPr="00E54204">
        <w:rPr>
          <w:szCs w:val="20"/>
          <w:vertAlign w:val="superscript"/>
        </w:rPr>
        <w:footnoteReference w:id="448"/>
      </w:r>
      <w:r w:rsidRPr="00E54204">
        <w:rPr>
          <w:szCs w:val="20"/>
        </w:rPr>
        <w:t xml:space="preserve">  </w:t>
      </w:r>
    </w:p>
    <w:p w14:paraId="153F2B82" w14:textId="77777777" w:rsidR="0011693A" w:rsidRPr="00E54204" w:rsidRDefault="0011693A" w:rsidP="0011693A">
      <w:pPr>
        <w:spacing w:after="160"/>
        <w:ind w:firstLine="720"/>
        <w:rPr>
          <w:szCs w:val="20"/>
        </w:rPr>
      </w:pPr>
      <w:r w:rsidRPr="00E54204">
        <w:rPr>
          <w:szCs w:val="20"/>
        </w:rPr>
        <w:t xml:space="preserve"> I have sought to prove some other functions not typically spoken of in regards to the </w:t>
      </w:r>
      <w:r w:rsidRPr="00E54204">
        <w:rPr>
          <w:i/>
          <w:szCs w:val="20"/>
        </w:rPr>
        <w:t>bat kol</w:t>
      </w:r>
      <w:r w:rsidRPr="00E54204">
        <w:rPr>
          <w:szCs w:val="20"/>
        </w:rPr>
        <w:t>,</w:t>
      </w:r>
      <w:r w:rsidRPr="00E54204">
        <w:rPr>
          <w:i/>
          <w:szCs w:val="20"/>
        </w:rPr>
        <w:t xml:space="preserve"> </w:t>
      </w:r>
      <w:r w:rsidRPr="00E54204">
        <w:rPr>
          <w:szCs w:val="20"/>
        </w:rPr>
        <w:t xml:space="preserve">namely its place to announce judgment and its affiliation with </w:t>
      </w:r>
      <w:r w:rsidR="004B512C" w:rsidRPr="00E54204">
        <w:rPr>
          <w:i/>
          <w:szCs w:val="20"/>
        </w:rPr>
        <w:t>Halac</w:t>
      </w:r>
      <w:r w:rsidRPr="00E54204">
        <w:rPr>
          <w:i/>
          <w:szCs w:val="20"/>
        </w:rPr>
        <w:t xml:space="preserve">hic </w:t>
      </w:r>
      <w:r w:rsidRPr="00E54204">
        <w:rPr>
          <w:szCs w:val="20"/>
        </w:rPr>
        <w:t>episodes.  However, in accordance wi</w:t>
      </w:r>
      <w:r w:rsidR="00295FEC" w:rsidRPr="00E54204">
        <w:rPr>
          <w:szCs w:val="20"/>
        </w:rPr>
        <w:t xml:space="preserve">th the view of scholars like </w:t>
      </w:r>
      <w:r w:rsidRPr="00E54204">
        <w:rPr>
          <w:szCs w:val="20"/>
        </w:rPr>
        <w:t>K. Lindbe</w:t>
      </w:r>
      <w:r w:rsidR="00295FEC" w:rsidRPr="00E54204">
        <w:rPr>
          <w:szCs w:val="20"/>
        </w:rPr>
        <w:t xml:space="preserve">ck, two central functions of the </w:t>
      </w:r>
      <w:r w:rsidR="00295FEC" w:rsidRPr="00E54204">
        <w:rPr>
          <w:i/>
          <w:szCs w:val="20"/>
        </w:rPr>
        <w:t xml:space="preserve">bat kol </w:t>
      </w:r>
      <w:r w:rsidR="00295FEC" w:rsidRPr="00E54204">
        <w:rPr>
          <w:szCs w:val="20"/>
        </w:rPr>
        <w:t>are clear</w:t>
      </w:r>
      <w:r w:rsidRPr="00E54204">
        <w:rPr>
          <w:szCs w:val="20"/>
        </w:rPr>
        <w:t>:  announcing someone’s entrance into eternal life, and praising an individual for their merit or lack thereof.</w:t>
      </w:r>
      <w:r w:rsidRPr="00E54204">
        <w:rPr>
          <w:szCs w:val="20"/>
          <w:vertAlign w:val="superscript"/>
        </w:rPr>
        <w:footnoteReference w:id="449"/>
      </w:r>
      <w:r w:rsidRPr="00E54204">
        <w:rPr>
          <w:szCs w:val="20"/>
        </w:rPr>
        <w:t xml:space="preserve">  Common themes and other literary features seem to reveal a creative editorial hand, by we</w:t>
      </w:r>
      <w:r w:rsidR="00295FEC" w:rsidRPr="00E54204">
        <w:rPr>
          <w:szCs w:val="20"/>
        </w:rPr>
        <w:t>aving together important themes</w:t>
      </w:r>
      <w:r w:rsidRPr="00E54204">
        <w:rPr>
          <w:szCs w:val="20"/>
        </w:rPr>
        <w:t xml:space="preserve"> in m</w:t>
      </w:r>
      <w:r w:rsidR="00763841" w:rsidRPr="00E54204">
        <w:rPr>
          <w:szCs w:val="20"/>
        </w:rPr>
        <w:t xml:space="preserve">ore than one story.  </w:t>
      </w:r>
    </w:p>
    <w:p w14:paraId="3374E90D" w14:textId="77777777" w:rsidR="0011693A" w:rsidRPr="00E54204" w:rsidRDefault="00D42229" w:rsidP="0011693A">
      <w:pPr>
        <w:spacing w:after="160"/>
        <w:rPr>
          <w:b/>
          <w:szCs w:val="20"/>
        </w:rPr>
      </w:pPr>
      <w:r w:rsidRPr="00E54204">
        <w:rPr>
          <w:b/>
          <w:szCs w:val="20"/>
        </w:rPr>
        <w:t>IV.</w:t>
      </w:r>
      <w:r w:rsidRPr="00E54204">
        <w:rPr>
          <w:b/>
          <w:szCs w:val="20"/>
        </w:rPr>
        <w:tab/>
      </w:r>
      <w:r w:rsidR="008C6699" w:rsidRPr="00E54204">
        <w:rPr>
          <w:b/>
          <w:szCs w:val="20"/>
        </w:rPr>
        <w:t>Concluding Remarks</w:t>
      </w:r>
      <w:r w:rsidR="0011693A" w:rsidRPr="00E54204">
        <w:rPr>
          <w:szCs w:val="20"/>
        </w:rPr>
        <w:t xml:space="preserve">   </w:t>
      </w:r>
    </w:p>
    <w:p w14:paraId="271D74DC" w14:textId="77777777" w:rsidR="0011693A" w:rsidRPr="00E54204" w:rsidRDefault="0011693A" w:rsidP="0011693A">
      <w:pPr>
        <w:spacing w:after="160"/>
        <w:ind w:firstLine="720"/>
        <w:rPr>
          <w:szCs w:val="20"/>
        </w:rPr>
      </w:pPr>
      <w:r w:rsidRPr="00E54204">
        <w:rPr>
          <w:szCs w:val="20"/>
        </w:rPr>
        <w:t xml:space="preserve">Through the cases reviewed in this study, it is clear that the </w:t>
      </w:r>
      <w:r w:rsidR="00363960" w:rsidRPr="00E54204">
        <w:rPr>
          <w:i/>
          <w:szCs w:val="20"/>
        </w:rPr>
        <w:t>bat kol</w:t>
      </w:r>
      <w:r w:rsidR="00363960" w:rsidRPr="00E54204">
        <w:rPr>
          <w:szCs w:val="20"/>
        </w:rPr>
        <w:t>’s</w:t>
      </w:r>
      <w:r w:rsidRPr="00E54204">
        <w:rPr>
          <w:szCs w:val="20"/>
        </w:rPr>
        <w:t xml:space="preserve"> primary function is a type of herald.  From enunciating pan</w:t>
      </w:r>
      <w:r w:rsidR="00FD5451" w:rsidRPr="00E54204">
        <w:rPr>
          <w:szCs w:val="20"/>
        </w:rPr>
        <w:t>egyric phrases to capturing</w:t>
      </w:r>
      <w:r w:rsidRPr="00E54204">
        <w:rPr>
          <w:szCs w:val="20"/>
        </w:rPr>
        <w:t xml:space="preserve"> God’s own regret and dismay.  It served the function of a type of megaphone, employed primarily to denote individuals and their actions.  Its role was crucial considering the rabbinic notion that</w:t>
      </w:r>
      <w:r w:rsidR="00A8516E" w:rsidRPr="00E54204">
        <w:rPr>
          <w:szCs w:val="20"/>
        </w:rPr>
        <w:t xml:space="preserve"> prophecy had indeed “ceased.”  Interestingly enough, in another place in the Talmudic body of writings we find a statement asserting that prophecy had indeed continued through the </w:t>
      </w:r>
      <w:r w:rsidR="00A8516E" w:rsidRPr="00E54204">
        <w:rPr>
          <w:i/>
          <w:szCs w:val="20"/>
        </w:rPr>
        <w:t xml:space="preserve">chahmim </w:t>
      </w:r>
      <w:r w:rsidR="00A8516E" w:rsidRPr="00E54204">
        <w:rPr>
          <w:szCs w:val="20"/>
        </w:rPr>
        <w:t xml:space="preserve">(lit. wise men).  In </w:t>
      </w:r>
      <w:r w:rsidR="00A8516E" w:rsidRPr="00E54204">
        <w:rPr>
          <w:i/>
          <w:szCs w:val="20"/>
        </w:rPr>
        <w:t xml:space="preserve">Bava Batra </w:t>
      </w:r>
      <w:r w:rsidR="00A8516E" w:rsidRPr="00E54204">
        <w:rPr>
          <w:szCs w:val="20"/>
        </w:rPr>
        <w:t>12a it reads that after the destruction of the Temple prophecy was taken from the prophets and given over to the sages</w:t>
      </w:r>
      <w:r w:rsidR="00497B15" w:rsidRPr="00E54204">
        <w:rPr>
          <w:szCs w:val="20"/>
        </w:rPr>
        <w:t xml:space="preserve"> and that a sage is greater than a prophet</w:t>
      </w:r>
      <w:r w:rsidR="00A8516E" w:rsidRPr="00E54204">
        <w:rPr>
          <w:szCs w:val="20"/>
        </w:rPr>
        <w:t>.</w:t>
      </w:r>
      <w:r w:rsidR="0096286D">
        <w:rPr>
          <w:rStyle w:val="FootnoteReference"/>
          <w:szCs w:val="20"/>
        </w:rPr>
        <w:footnoteReference w:id="450"/>
      </w:r>
      <w:r w:rsidR="0096286D">
        <w:rPr>
          <w:szCs w:val="20"/>
        </w:rPr>
        <w:t xml:space="preserve">  </w:t>
      </w:r>
      <w:r w:rsidR="00A8516E" w:rsidRPr="00E54204">
        <w:rPr>
          <w:szCs w:val="20"/>
        </w:rPr>
        <w:t xml:space="preserve">Thus, we find both the claim that after the latter prophets the </w:t>
      </w:r>
      <w:r w:rsidR="00A8516E" w:rsidRPr="00E54204">
        <w:rPr>
          <w:i/>
          <w:szCs w:val="20"/>
        </w:rPr>
        <w:t xml:space="preserve">bat kol </w:t>
      </w:r>
      <w:r w:rsidR="00DF5047" w:rsidRPr="00E54204">
        <w:rPr>
          <w:szCs w:val="20"/>
        </w:rPr>
        <w:t xml:space="preserve">became the conduit </w:t>
      </w:r>
      <w:r w:rsidR="00A8516E" w:rsidRPr="00E54204">
        <w:rPr>
          <w:szCs w:val="20"/>
        </w:rPr>
        <w:t xml:space="preserve">of revelation and </w:t>
      </w:r>
      <w:r w:rsidR="00DF5047" w:rsidRPr="00E54204">
        <w:rPr>
          <w:szCs w:val="20"/>
        </w:rPr>
        <w:t xml:space="preserve">also </w:t>
      </w:r>
      <w:r w:rsidR="00A8516E" w:rsidRPr="00E54204">
        <w:rPr>
          <w:szCs w:val="20"/>
        </w:rPr>
        <w:t>that the rabbis were endowed with the gift of prophecy as well.  In my view, I find these statements to b</w:t>
      </w:r>
      <w:r w:rsidR="00DF5047" w:rsidRPr="00E54204">
        <w:rPr>
          <w:szCs w:val="20"/>
        </w:rPr>
        <w:t xml:space="preserve">e asserting the principle that the rabbis were the arbiters of what constituted valid prophetic messages.  Moreover, </w:t>
      </w:r>
      <w:r w:rsidR="00A8516E" w:rsidRPr="00E54204">
        <w:rPr>
          <w:szCs w:val="20"/>
        </w:rPr>
        <w:t>in the rabbis</w:t>
      </w:r>
      <w:r w:rsidR="00DF5047" w:rsidRPr="00E54204">
        <w:rPr>
          <w:szCs w:val="20"/>
        </w:rPr>
        <w:t xml:space="preserve">’ description and retelling </w:t>
      </w:r>
      <w:r w:rsidR="00A8516E" w:rsidRPr="00E54204">
        <w:rPr>
          <w:szCs w:val="20"/>
        </w:rPr>
        <w:t xml:space="preserve">stories of the </w:t>
      </w:r>
      <w:r w:rsidR="00A8516E" w:rsidRPr="00E54204">
        <w:rPr>
          <w:i/>
          <w:szCs w:val="20"/>
        </w:rPr>
        <w:t xml:space="preserve">bat kol </w:t>
      </w:r>
      <w:r w:rsidR="00A8516E" w:rsidRPr="00E54204">
        <w:rPr>
          <w:szCs w:val="20"/>
        </w:rPr>
        <w:t xml:space="preserve">they were in fact exercising their own prophetic </w:t>
      </w:r>
      <w:r w:rsidR="00DF5047" w:rsidRPr="00E54204">
        <w:rPr>
          <w:szCs w:val="20"/>
        </w:rPr>
        <w:t xml:space="preserve">in a clandestine manner.  </w:t>
      </w:r>
      <w:r w:rsidRPr="00E54204">
        <w:rPr>
          <w:szCs w:val="20"/>
        </w:rPr>
        <w:t xml:space="preserve">Therefore, via oral tradition and later writings, these stories afforded the people to hear actual words from God in a riveting and personal manner.  The stories carried great relevance and genius by synthesizing ancient Biblical writings with contemporary motifs, the result was a highly-relevant exegesis.  </w:t>
      </w:r>
    </w:p>
    <w:p w14:paraId="3018ED4C" w14:textId="77777777" w:rsidR="0011693A" w:rsidRPr="00E54204" w:rsidRDefault="0011693A" w:rsidP="0011693A">
      <w:pPr>
        <w:spacing w:after="160"/>
        <w:ind w:firstLine="720"/>
        <w:rPr>
          <w:szCs w:val="20"/>
        </w:rPr>
      </w:pPr>
      <w:r w:rsidRPr="00E54204">
        <w:rPr>
          <w:szCs w:val="20"/>
        </w:rPr>
        <w:t xml:space="preserve">Moreover, as with </w:t>
      </w:r>
      <w:r w:rsidRPr="00E54204">
        <w:rPr>
          <w:i/>
          <w:szCs w:val="20"/>
        </w:rPr>
        <w:t xml:space="preserve">Haggadah </w:t>
      </w:r>
      <w:r w:rsidRPr="00E54204">
        <w:rPr>
          <w:szCs w:val="20"/>
        </w:rPr>
        <w:t xml:space="preserve">in general, we can discern a direct correlation between the messages articulated by the </w:t>
      </w:r>
      <w:r w:rsidRPr="00E54204">
        <w:rPr>
          <w:i/>
          <w:szCs w:val="20"/>
        </w:rPr>
        <w:t>bat kol</w:t>
      </w:r>
      <w:r w:rsidRPr="00E54204">
        <w:rPr>
          <w:szCs w:val="20"/>
        </w:rPr>
        <w:t xml:space="preserve"> and the prerogatives of the rabbis.  Here there is considerable overlap.  The </w:t>
      </w:r>
      <w:r w:rsidRPr="00E54204">
        <w:rPr>
          <w:i/>
          <w:szCs w:val="20"/>
        </w:rPr>
        <w:t xml:space="preserve">bat kol </w:t>
      </w:r>
      <w:r w:rsidRPr="00E54204">
        <w:rPr>
          <w:szCs w:val="20"/>
        </w:rPr>
        <w:t>condemned characters associated wi</w:t>
      </w:r>
      <w:r w:rsidR="00714588" w:rsidRPr="00E54204">
        <w:rPr>
          <w:szCs w:val="20"/>
        </w:rPr>
        <w:t>th the destruction of both the First and S</w:t>
      </w:r>
      <w:r w:rsidRPr="00E54204">
        <w:rPr>
          <w:szCs w:val="20"/>
        </w:rPr>
        <w:t>econd Temples.  It praised sages who suffer</w:t>
      </w:r>
      <w:r w:rsidR="00714588" w:rsidRPr="00E54204">
        <w:rPr>
          <w:szCs w:val="20"/>
        </w:rPr>
        <w:t>ed martyrdom because of their defiance of</w:t>
      </w:r>
      <w:r w:rsidRPr="00E54204">
        <w:rPr>
          <w:szCs w:val="20"/>
        </w:rPr>
        <w:t xml:space="preserve"> Rome by continu</w:t>
      </w:r>
      <w:r w:rsidR="00714588" w:rsidRPr="00E54204">
        <w:rPr>
          <w:szCs w:val="20"/>
        </w:rPr>
        <w:t>ing to publicly teach their laws</w:t>
      </w:r>
      <w:r w:rsidRPr="00E54204">
        <w:rPr>
          <w:szCs w:val="20"/>
        </w:rPr>
        <w:t>.  It also praised individuals who were distinguished for their character, articulating their worthiness to receive God’s abiding presence.  Nevertheless, it seems reasonable to conclude that in ancient</w:t>
      </w:r>
      <w:r w:rsidR="003273C6" w:rsidRPr="00E54204">
        <w:rPr>
          <w:szCs w:val="20"/>
        </w:rPr>
        <w:t xml:space="preserve"> Jewish</w:t>
      </w:r>
      <w:r w:rsidRPr="00E54204">
        <w:rPr>
          <w:szCs w:val="20"/>
        </w:rPr>
        <w:t xml:space="preserve"> Palestine, the belief in hearing an audible expression of God’s voice was a reality.  This is supported by other writers who make mention of heavenly voices (e.g., Josephus and the Gospel writers).  Moreover, many of the stories reviewed include the prefatory comments “our rabbis taught” which reveals its </w:t>
      </w:r>
      <w:r w:rsidRPr="00E54204">
        <w:rPr>
          <w:i/>
          <w:szCs w:val="20"/>
        </w:rPr>
        <w:t xml:space="preserve">Tannaitic </w:t>
      </w:r>
      <w:r w:rsidRPr="00E54204">
        <w:rPr>
          <w:szCs w:val="20"/>
        </w:rPr>
        <w:t>provenance.</w:t>
      </w:r>
      <w:r w:rsidRPr="00E54204">
        <w:rPr>
          <w:szCs w:val="20"/>
          <w:vertAlign w:val="superscript"/>
        </w:rPr>
        <w:footnoteReference w:id="451"/>
      </w:r>
      <w:r w:rsidRPr="00E54204">
        <w:rPr>
          <w:szCs w:val="20"/>
        </w:rPr>
        <w:t xml:space="preserve">  This is indicative both of the geographical region (Jewish Palestine), and the date (first to early third century CE).  </w:t>
      </w:r>
    </w:p>
    <w:p w14:paraId="47543A20" w14:textId="77777777" w:rsidR="0011693A" w:rsidRPr="00E54204" w:rsidRDefault="0011693A" w:rsidP="0011693A">
      <w:pPr>
        <w:spacing w:after="160"/>
        <w:ind w:firstLine="720"/>
        <w:rPr>
          <w:szCs w:val="20"/>
        </w:rPr>
      </w:pPr>
      <w:r w:rsidRPr="00E54204">
        <w:rPr>
          <w:szCs w:val="20"/>
        </w:rPr>
        <w:t>Just like Elijah, who appears in many Talmudic legends, the “daughter of a voice” intermittently manifests yet with s</w:t>
      </w:r>
      <w:r w:rsidR="00714588" w:rsidRPr="00E54204">
        <w:rPr>
          <w:szCs w:val="20"/>
        </w:rPr>
        <w:t>pecific purposes.  W</w:t>
      </w:r>
      <w:r w:rsidRPr="00E54204">
        <w:rPr>
          <w:szCs w:val="20"/>
        </w:rPr>
        <w:t>e may discern a literary and or phenomenological appreciation for such a sign.  Its presence as attested to in the earliest rabbinic documents (Mishnah, Tosefta) hints that it was recognized</w:t>
      </w:r>
      <w:r w:rsidR="00714588" w:rsidRPr="00E54204">
        <w:rPr>
          <w:szCs w:val="20"/>
        </w:rPr>
        <w:t xml:space="preserve"> as influential upon remarriage</w:t>
      </w:r>
      <w:r w:rsidRPr="00E54204">
        <w:rPr>
          <w:szCs w:val="20"/>
        </w:rPr>
        <w:t xml:space="preserve">, at least within the rabbinic fold, during the first few centuries CE and its inclusion in the Bavli suggests the later </w:t>
      </w:r>
      <w:r w:rsidRPr="00E54204">
        <w:rPr>
          <w:i/>
          <w:szCs w:val="20"/>
        </w:rPr>
        <w:t xml:space="preserve">Amoraim </w:t>
      </w:r>
      <w:r w:rsidRPr="00E54204">
        <w:rPr>
          <w:szCs w:val="20"/>
        </w:rPr>
        <w:t xml:space="preserve">sought to preserve and propagate these stories.  </w:t>
      </w:r>
    </w:p>
    <w:p w14:paraId="0546BC57" w14:textId="77777777" w:rsidR="0011693A" w:rsidRPr="00E54204" w:rsidRDefault="0011693A" w:rsidP="0011693A">
      <w:pPr>
        <w:spacing w:after="160"/>
        <w:ind w:firstLine="720"/>
        <w:rPr>
          <w:szCs w:val="20"/>
        </w:rPr>
      </w:pPr>
      <w:r w:rsidRPr="00E54204">
        <w:rPr>
          <w:szCs w:val="20"/>
        </w:rPr>
        <w:t xml:space="preserve">Nor was the destruction of the Temple sufficient reason for the rabbis to perceive God as far removed (though they certainly allude to this idea).  Indeed, the notion of the “voice from heaven” asserts that God was invested in His people.  It is never outright called the voice </w:t>
      </w:r>
      <w:r w:rsidR="00B32E5C" w:rsidRPr="00E54204">
        <w:rPr>
          <w:szCs w:val="20"/>
        </w:rPr>
        <w:t>of the “Holy Spirit” or of God h</w:t>
      </w:r>
      <w:r w:rsidRPr="00E54204">
        <w:rPr>
          <w:szCs w:val="20"/>
        </w:rPr>
        <w:t>imself.  Its cognomen implies a different and separate entity from the Almighty.  In this way, t</w:t>
      </w:r>
      <w:r w:rsidR="00714588" w:rsidRPr="00E54204">
        <w:rPr>
          <w:szCs w:val="20"/>
        </w:rPr>
        <w:t>he heavenly echo, whether supposedly</w:t>
      </w:r>
      <w:r w:rsidRPr="00E54204">
        <w:rPr>
          <w:szCs w:val="20"/>
        </w:rPr>
        <w:t xml:space="preserve"> the voice of an angelic figure or of another supernal being, resonated in the ears of the common people; perhaps literally as well as figuratively.  </w:t>
      </w:r>
    </w:p>
    <w:p w14:paraId="05B3F980" w14:textId="77777777" w:rsidR="0011693A" w:rsidRPr="00E54204" w:rsidRDefault="0011693A" w:rsidP="0011693A">
      <w:pPr>
        <w:spacing w:after="160"/>
        <w:ind w:firstLine="720"/>
        <w:rPr>
          <w:szCs w:val="20"/>
        </w:rPr>
      </w:pPr>
      <w:r w:rsidRPr="00E54204">
        <w:rPr>
          <w:szCs w:val="20"/>
        </w:rPr>
        <w:t>The “voice from heaven” may be construed as being polyvocal.  That is to say, the</w:t>
      </w:r>
      <w:r w:rsidR="008D6150" w:rsidRPr="00E54204">
        <w:rPr>
          <w:szCs w:val="20"/>
        </w:rPr>
        <w:t xml:space="preserve"> stories are recapitulated, vis-a-</w:t>
      </w:r>
      <w:r w:rsidR="000B629A" w:rsidRPr="00E54204">
        <w:rPr>
          <w:szCs w:val="20"/>
        </w:rPr>
        <w:t>vis</w:t>
      </w:r>
      <w:r w:rsidRPr="00E54204">
        <w:rPr>
          <w:szCs w:val="20"/>
        </w:rPr>
        <w:t xml:space="preserve"> t</w:t>
      </w:r>
      <w:r w:rsidR="00417684" w:rsidRPr="00E54204">
        <w:rPr>
          <w:szCs w:val="20"/>
        </w:rPr>
        <w:t>he rabbis, which</w:t>
      </w:r>
      <w:r w:rsidR="008D6150" w:rsidRPr="00E54204">
        <w:rPr>
          <w:szCs w:val="20"/>
        </w:rPr>
        <w:t xml:space="preserve"> mirror</w:t>
      </w:r>
      <w:r w:rsidRPr="00E54204">
        <w:rPr>
          <w:szCs w:val="20"/>
        </w:rPr>
        <w:t xml:space="preserve"> rabbinic thought and teaching.  In a way, the revelation conferred to Moses at Mt. Sinai, more than a thousand years ago </w:t>
      </w:r>
      <w:r w:rsidR="00417684" w:rsidRPr="00E54204">
        <w:rPr>
          <w:szCs w:val="20"/>
        </w:rPr>
        <w:t>prior to the sages, reverberates</w:t>
      </w:r>
      <w:r w:rsidRPr="00E54204">
        <w:rPr>
          <w:szCs w:val="20"/>
        </w:rPr>
        <w:t xml:space="preserve"> throughout Jewish history so that the leaders of the nation would be both the recipients and transmitters o</w:t>
      </w:r>
      <w:r w:rsidR="00417684" w:rsidRPr="00E54204">
        <w:rPr>
          <w:szCs w:val="20"/>
        </w:rPr>
        <w:t>f God’s revelatory</w:t>
      </w:r>
      <w:r w:rsidRPr="00E54204">
        <w:rPr>
          <w:szCs w:val="20"/>
        </w:rPr>
        <w:t xml:space="preserve"> voice.</w:t>
      </w:r>
      <w:r w:rsidR="00417684" w:rsidRPr="00E54204">
        <w:rPr>
          <w:szCs w:val="20"/>
        </w:rPr>
        <w:t xml:space="preserve">  Thus, we may describe such a development as “What started in heaven ends on earth.”</w:t>
      </w:r>
      <w:r w:rsidR="00417684" w:rsidRPr="00E54204">
        <w:rPr>
          <w:rStyle w:val="FootnoteReference"/>
          <w:szCs w:val="20"/>
        </w:rPr>
        <w:footnoteReference w:id="452"/>
      </w:r>
      <w:r w:rsidR="00417684" w:rsidRPr="00E54204">
        <w:rPr>
          <w:szCs w:val="20"/>
        </w:rPr>
        <w:t xml:space="preserve">  In other words, the process through which heavenly messages are filtered down to earth culminate in its being preserved and propagated via the voices of those entrusted with such sacred oracles.  In my opinion, these stories may</w:t>
      </w:r>
      <w:r w:rsidRPr="00E54204">
        <w:rPr>
          <w:szCs w:val="20"/>
        </w:rPr>
        <w:t xml:space="preserve"> be interpreted as a synthesis of God’s voice and the sage</w:t>
      </w:r>
      <w:r w:rsidR="00714588" w:rsidRPr="00E54204">
        <w:rPr>
          <w:szCs w:val="20"/>
        </w:rPr>
        <w:t>s</w:t>
      </w:r>
      <w:r w:rsidR="00417684" w:rsidRPr="00E54204">
        <w:rPr>
          <w:szCs w:val="20"/>
        </w:rPr>
        <w:t>’.</w:t>
      </w:r>
      <w:r w:rsidRPr="00E54204">
        <w:rPr>
          <w:szCs w:val="20"/>
        </w:rPr>
        <w:t xml:space="preserve">  Consequently,</w:t>
      </w:r>
      <w:r w:rsidR="00417684" w:rsidRPr="00E54204">
        <w:rPr>
          <w:szCs w:val="20"/>
        </w:rPr>
        <w:t xml:space="preserve"> when we read (or hear the voice</w:t>
      </w:r>
      <w:r w:rsidR="00CA1C0E" w:rsidRPr="00E54204">
        <w:rPr>
          <w:szCs w:val="20"/>
        </w:rPr>
        <w:t>)</w:t>
      </w:r>
      <w:r w:rsidR="00417684" w:rsidRPr="00E54204">
        <w:rPr>
          <w:szCs w:val="20"/>
        </w:rPr>
        <w:t xml:space="preserve"> of</w:t>
      </w:r>
      <w:r w:rsidRPr="00E54204">
        <w:rPr>
          <w:szCs w:val="20"/>
        </w:rPr>
        <w:t xml:space="preserve"> </w:t>
      </w:r>
      <w:r w:rsidR="00CA1C0E" w:rsidRPr="00E54204">
        <w:rPr>
          <w:szCs w:val="20"/>
        </w:rPr>
        <w:t xml:space="preserve">the </w:t>
      </w:r>
      <w:r w:rsidRPr="00E54204">
        <w:rPr>
          <w:i/>
          <w:szCs w:val="20"/>
        </w:rPr>
        <w:t>bat kol</w:t>
      </w:r>
      <w:r w:rsidR="00CA1C0E" w:rsidRPr="00E54204">
        <w:rPr>
          <w:szCs w:val="20"/>
        </w:rPr>
        <w:t xml:space="preserve"> we, in fact, are</w:t>
      </w:r>
      <w:r w:rsidR="00714588" w:rsidRPr="00E54204">
        <w:rPr>
          <w:szCs w:val="20"/>
        </w:rPr>
        <w:t xml:space="preserve"> reading </w:t>
      </w:r>
      <w:r w:rsidR="00CA1C0E" w:rsidRPr="00E54204">
        <w:rPr>
          <w:szCs w:val="20"/>
        </w:rPr>
        <w:t>or hearing the voices of the rabbis</w:t>
      </w:r>
      <w:r w:rsidR="00417684" w:rsidRPr="00E54204">
        <w:rPr>
          <w:szCs w:val="20"/>
        </w:rPr>
        <w:t>.</w:t>
      </w:r>
    </w:p>
    <w:p w14:paraId="64775733" w14:textId="77777777" w:rsidR="002E3A00" w:rsidRPr="00E54204" w:rsidRDefault="002E3A00" w:rsidP="00D42229">
      <w:pPr>
        <w:spacing w:after="160"/>
        <w:jc w:val="center"/>
      </w:pPr>
    </w:p>
    <w:p w14:paraId="5159261A" w14:textId="77777777" w:rsidR="002C6ACB" w:rsidRPr="00E54204" w:rsidRDefault="005A3BE7" w:rsidP="00625C9D">
      <w:pPr>
        <w:spacing w:after="160"/>
        <w:jc w:val="center"/>
        <w:rPr>
          <w:szCs w:val="20"/>
        </w:rPr>
      </w:pPr>
      <w:r w:rsidRPr="00E54204">
        <w:t>BIBLIOGRAPHY</w:t>
      </w:r>
    </w:p>
    <w:p w14:paraId="6417A6D5" w14:textId="77777777" w:rsidR="004B60D7" w:rsidRPr="00E54204" w:rsidRDefault="002C6ACB" w:rsidP="004B60D7">
      <w:pPr>
        <w:spacing w:line="240" w:lineRule="auto"/>
        <w:rPr>
          <w:bCs/>
          <w:i/>
          <w:iCs/>
        </w:rPr>
      </w:pPr>
      <w:r w:rsidRPr="00E54204">
        <w:rPr>
          <w:bCs/>
        </w:rPr>
        <w:t>Abbott, Edwin Abbott. </w:t>
      </w:r>
      <w:r w:rsidRPr="00E54204">
        <w:rPr>
          <w:bCs/>
          <w:i/>
          <w:iCs/>
        </w:rPr>
        <w:t xml:space="preserve">From Letter to Spirit; an Attempt to Reach through Varying </w:t>
      </w:r>
    </w:p>
    <w:p w14:paraId="7A682F17" w14:textId="77777777" w:rsidR="002C6ACB" w:rsidRPr="00E54204" w:rsidRDefault="00763841" w:rsidP="004B60D7">
      <w:pPr>
        <w:spacing w:line="240" w:lineRule="auto"/>
        <w:ind w:firstLine="720"/>
        <w:rPr>
          <w:bCs/>
        </w:rPr>
      </w:pPr>
      <w:r w:rsidRPr="00E54204">
        <w:rPr>
          <w:bCs/>
          <w:i/>
          <w:iCs/>
        </w:rPr>
        <w:t>Voices the Abiding Word</w:t>
      </w:r>
      <w:r w:rsidR="002C6ACB" w:rsidRPr="00E54204">
        <w:rPr>
          <w:bCs/>
        </w:rPr>
        <w:t>. London: A. and C. Black, 1903.</w:t>
      </w:r>
    </w:p>
    <w:p w14:paraId="09E36CE9" w14:textId="77777777" w:rsidR="00395026" w:rsidRPr="00E54204" w:rsidRDefault="00395026" w:rsidP="00395026">
      <w:pPr>
        <w:spacing w:line="240" w:lineRule="auto"/>
        <w:rPr>
          <w:bCs/>
        </w:rPr>
      </w:pPr>
    </w:p>
    <w:p w14:paraId="74D5DB51" w14:textId="77777777" w:rsidR="00395026" w:rsidRPr="00E54204" w:rsidRDefault="00395026" w:rsidP="00395026">
      <w:pPr>
        <w:spacing w:line="240" w:lineRule="auto"/>
        <w:rPr>
          <w:bCs/>
          <w:i/>
          <w:iCs/>
        </w:rPr>
      </w:pPr>
      <w:r w:rsidRPr="00E54204">
        <w:rPr>
          <w:bCs/>
          <w:iCs/>
        </w:rPr>
        <w:t>Abegg, Martin G., Jr., Peter W. Flint, and Eugene Ulrich. </w:t>
      </w:r>
      <w:r w:rsidRPr="00E54204">
        <w:rPr>
          <w:bCs/>
          <w:i/>
          <w:iCs/>
        </w:rPr>
        <w:t xml:space="preserve">The Dead Sea Scrolls Bible: </w:t>
      </w:r>
    </w:p>
    <w:p w14:paraId="4B4BA6DD" w14:textId="77777777" w:rsidR="00395026" w:rsidRPr="00E54204" w:rsidRDefault="00395026" w:rsidP="00395026">
      <w:pPr>
        <w:spacing w:line="240" w:lineRule="auto"/>
        <w:ind w:firstLine="720"/>
        <w:rPr>
          <w:bCs/>
          <w:iCs/>
        </w:rPr>
      </w:pPr>
      <w:r w:rsidRPr="00E54204">
        <w:rPr>
          <w:bCs/>
          <w:i/>
          <w:iCs/>
        </w:rPr>
        <w:t>The Oldest Known Bible</w:t>
      </w:r>
      <w:r w:rsidRPr="00E54204">
        <w:rPr>
          <w:bCs/>
          <w:iCs/>
        </w:rPr>
        <w:t xml:space="preserve">. San Francisco, CA: </w:t>
      </w:r>
      <w:r w:rsidR="00625C9D" w:rsidRPr="00E54204">
        <w:rPr>
          <w:bCs/>
          <w:iCs/>
        </w:rPr>
        <w:t>HarperOne</w:t>
      </w:r>
      <w:r w:rsidRPr="00E54204">
        <w:rPr>
          <w:bCs/>
          <w:iCs/>
        </w:rPr>
        <w:t>, San Francisco, 1999.</w:t>
      </w:r>
    </w:p>
    <w:p w14:paraId="304D509E" w14:textId="77777777" w:rsidR="002C6ACB" w:rsidRPr="00E54204" w:rsidRDefault="002C6ACB" w:rsidP="002C6ACB">
      <w:pPr>
        <w:spacing w:line="240" w:lineRule="auto"/>
        <w:ind w:firstLine="720"/>
        <w:rPr>
          <w:bCs/>
        </w:rPr>
      </w:pPr>
    </w:p>
    <w:p w14:paraId="211A7932" w14:textId="77777777" w:rsidR="004B60D7" w:rsidRPr="00E54204" w:rsidRDefault="002C6ACB" w:rsidP="004B60D7">
      <w:pPr>
        <w:spacing w:line="240" w:lineRule="auto"/>
        <w:rPr>
          <w:bCs/>
          <w:i/>
          <w:iCs/>
        </w:rPr>
      </w:pPr>
      <w:r w:rsidRPr="00E54204">
        <w:rPr>
          <w:bCs/>
        </w:rPr>
        <w:t>Aune, David Edward. </w:t>
      </w:r>
      <w:r w:rsidRPr="00E54204">
        <w:rPr>
          <w:bCs/>
          <w:i/>
          <w:iCs/>
        </w:rPr>
        <w:t xml:space="preserve">Prophecy in Early Christianity and the Ancient Mediterranean </w:t>
      </w:r>
    </w:p>
    <w:p w14:paraId="0FA824B2" w14:textId="77777777" w:rsidR="002C6ACB" w:rsidRPr="00E54204" w:rsidRDefault="002C6ACB" w:rsidP="004B60D7">
      <w:pPr>
        <w:spacing w:line="240" w:lineRule="auto"/>
        <w:ind w:firstLine="720"/>
        <w:rPr>
          <w:bCs/>
        </w:rPr>
      </w:pPr>
      <w:r w:rsidRPr="00E54204">
        <w:rPr>
          <w:bCs/>
          <w:i/>
          <w:iCs/>
        </w:rPr>
        <w:t>World</w:t>
      </w:r>
      <w:r w:rsidR="004B60D7" w:rsidRPr="00E54204">
        <w:rPr>
          <w:bCs/>
        </w:rPr>
        <w:t xml:space="preserve">. </w:t>
      </w:r>
      <w:r w:rsidRPr="00E54204">
        <w:rPr>
          <w:bCs/>
        </w:rPr>
        <w:t>Grand Rapids, Mich.: Eerdmans, 1983.</w:t>
      </w:r>
    </w:p>
    <w:p w14:paraId="4094769D" w14:textId="77777777" w:rsidR="002C6ACB" w:rsidRPr="00E54204" w:rsidRDefault="002C6ACB" w:rsidP="002C6ACB">
      <w:pPr>
        <w:spacing w:line="240" w:lineRule="auto"/>
        <w:ind w:firstLine="720"/>
        <w:rPr>
          <w:bCs/>
        </w:rPr>
      </w:pPr>
    </w:p>
    <w:p w14:paraId="1A97367C" w14:textId="77777777" w:rsidR="002C6ACB" w:rsidRPr="00E54204" w:rsidRDefault="00DF7E54" w:rsidP="002C6ACB">
      <w:pPr>
        <w:spacing w:line="240" w:lineRule="auto"/>
        <w:rPr>
          <w:bCs/>
        </w:rPr>
      </w:pPr>
      <w:r w:rsidRPr="00E54204">
        <w:rPr>
          <w:bCs/>
        </w:rPr>
        <w:t xml:space="preserve">Bader, </w:t>
      </w:r>
      <w:r w:rsidR="002C6ACB" w:rsidRPr="00E54204">
        <w:rPr>
          <w:bCs/>
        </w:rPr>
        <w:t>Gershom. </w:t>
      </w:r>
      <w:r w:rsidR="002C6ACB" w:rsidRPr="00E54204">
        <w:rPr>
          <w:bCs/>
          <w:i/>
          <w:iCs/>
        </w:rPr>
        <w:t>The Encyclopedia of Talmudic Sages</w:t>
      </w:r>
      <w:r w:rsidR="002C6ACB" w:rsidRPr="00E54204">
        <w:rPr>
          <w:bCs/>
        </w:rPr>
        <w:t xml:space="preserve">. Northvale, N.J.: Jason Aronson, </w:t>
      </w:r>
    </w:p>
    <w:p w14:paraId="3611F788" w14:textId="77777777" w:rsidR="002C6ACB" w:rsidRPr="00E54204" w:rsidRDefault="002C6ACB" w:rsidP="002C6ACB">
      <w:pPr>
        <w:spacing w:line="240" w:lineRule="auto"/>
        <w:ind w:firstLine="720"/>
        <w:rPr>
          <w:bCs/>
        </w:rPr>
      </w:pPr>
      <w:r w:rsidRPr="00E54204">
        <w:rPr>
          <w:bCs/>
        </w:rPr>
        <w:t>1988.</w:t>
      </w:r>
    </w:p>
    <w:p w14:paraId="6A51F6FE" w14:textId="77777777" w:rsidR="002C6ACB" w:rsidRPr="00E54204" w:rsidRDefault="002C6ACB" w:rsidP="005472B8">
      <w:pPr>
        <w:spacing w:line="240" w:lineRule="auto"/>
        <w:rPr>
          <w:bCs/>
        </w:rPr>
      </w:pPr>
    </w:p>
    <w:p w14:paraId="657D5F43" w14:textId="77777777" w:rsidR="002C6ACB" w:rsidRPr="00E54204" w:rsidRDefault="002C6ACB" w:rsidP="002C6ACB">
      <w:pPr>
        <w:spacing w:line="240" w:lineRule="auto"/>
        <w:rPr>
          <w:bCs/>
          <w:i/>
          <w:iCs/>
        </w:rPr>
      </w:pPr>
      <w:r w:rsidRPr="00E54204">
        <w:rPr>
          <w:rFonts w:hint="eastAsia"/>
          <w:bCs/>
        </w:rPr>
        <w:t>Becker, Adam H., and Annette Yoshiko Reed. </w:t>
      </w:r>
      <w:r w:rsidRPr="00E54204">
        <w:rPr>
          <w:rFonts w:hint="eastAsia"/>
          <w:bCs/>
          <w:i/>
          <w:iCs/>
        </w:rPr>
        <w:t xml:space="preserve">The Ways That Never Parted: Jews and </w:t>
      </w:r>
    </w:p>
    <w:p w14:paraId="15BC8A40" w14:textId="77777777" w:rsidR="002C6ACB" w:rsidRPr="00E54204" w:rsidRDefault="002C6ACB" w:rsidP="004B60D7">
      <w:pPr>
        <w:spacing w:line="240" w:lineRule="auto"/>
        <w:ind w:left="720"/>
        <w:rPr>
          <w:bCs/>
        </w:rPr>
      </w:pPr>
      <w:r w:rsidRPr="00E54204">
        <w:rPr>
          <w:rFonts w:hint="eastAsia"/>
          <w:bCs/>
          <w:i/>
          <w:iCs/>
        </w:rPr>
        <w:t>Christians in Late Antiquity and the Early Middle Ages</w:t>
      </w:r>
      <w:r w:rsidRPr="00E54204">
        <w:rPr>
          <w:rFonts w:hint="eastAsia"/>
          <w:bCs/>
        </w:rPr>
        <w:t>. Tübingen: Mohr Siebeck, 2003.</w:t>
      </w:r>
    </w:p>
    <w:p w14:paraId="7D1064DB" w14:textId="77777777" w:rsidR="002C6ACB" w:rsidRPr="00E54204" w:rsidRDefault="002C6ACB" w:rsidP="002C6ACB">
      <w:pPr>
        <w:spacing w:line="240" w:lineRule="auto"/>
        <w:ind w:firstLine="720"/>
        <w:rPr>
          <w:bCs/>
        </w:rPr>
      </w:pPr>
    </w:p>
    <w:p w14:paraId="78FA1AD1" w14:textId="77777777" w:rsidR="004B60D7" w:rsidRPr="00E54204" w:rsidRDefault="002C6ACB" w:rsidP="004B60D7">
      <w:pPr>
        <w:spacing w:line="240" w:lineRule="auto"/>
        <w:rPr>
          <w:bCs/>
        </w:rPr>
      </w:pPr>
      <w:r w:rsidRPr="00E54204">
        <w:rPr>
          <w:bCs/>
        </w:rPr>
        <w:t>Bieringer, Reimund, ed. </w:t>
      </w:r>
      <w:r w:rsidRPr="00E54204">
        <w:rPr>
          <w:bCs/>
          <w:i/>
          <w:iCs/>
        </w:rPr>
        <w:t>The New Testament and Rabbinic Literature</w:t>
      </w:r>
      <w:r w:rsidRPr="00E54204">
        <w:rPr>
          <w:bCs/>
        </w:rPr>
        <w:t xml:space="preserve">. Leiden: Brill, </w:t>
      </w:r>
    </w:p>
    <w:p w14:paraId="2DE3CE78" w14:textId="77777777" w:rsidR="002C6ACB" w:rsidRPr="00E54204" w:rsidRDefault="002C6ACB" w:rsidP="004B60D7">
      <w:pPr>
        <w:spacing w:line="240" w:lineRule="auto"/>
        <w:ind w:firstLine="720"/>
        <w:rPr>
          <w:bCs/>
        </w:rPr>
      </w:pPr>
      <w:r w:rsidRPr="00E54204">
        <w:rPr>
          <w:bCs/>
        </w:rPr>
        <w:t>2010.</w:t>
      </w:r>
    </w:p>
    <w:p w14:paraId="1774A5E4" w14:textId="77777777" w:rsidR="002C6ACB" w:rsidRPr="00E54204" w:rsidRDefault="002C6ACB" w:rsidP="002C6ACB">
      <w:pPr>
        <w:spacing w:line="240" w:lineRule="auto"/>
        <w:rPr>
          <w:bCs/>
        </w:rPr>
      </w:pPr>
    </w:p>
    <w:p w14:paraId="710CDC90" w14:textId="77777777" w:rsidR="002C6ACB" w:rsidRPr="00E54204" w:rsidRDefault="002C6ACB" w:rsidP="002C6ACB">
      <w:pPr>
        <w:spacing w:line="240" w:lineRule="auto"/>
        <w:rPr>
          <w:bCs/>
          <w:i/>
          <w:iCs/>
        </w:rPr>
      </w:pPr>
      <w:r w:rsidRPr="00E54204">
        <w:rPr>
          <w:bCs/>
        </w:rPr>
        <w:t>Bockmuehl, Markus N. A. </w:t>
      </w:r>
      <w:r w:rsidRPr="00E54204">
        <w:rPr>
          <w:bCs/>
          <w:i/>
          <w:iCs/>
        </w:rPr>
        <w:t xml:space="preserve">Revelation and Mystery in Ancient Judaism and Pauline </w:t>
      </w:r>
    </w:p>
    <w:p w14:paraId="15767E1F" w14:textId="77777777" w:rsidR="002C6ACB" w:rsidRPr="00E54204" w:rsidRDefault="002C6ACB" w:rsidP="002C6ACB">
      <w:pPr>
        <w:spacing w:line="240" w:lineRule="auto"/>
        <w:ind w:firstLine="720"/>
        <w:rPr>
          <w:bCs/>
        </w:rPr>
      </w:pPr>
      <w:r w:rsidRPr="00E54204">
        <w:rPr>
          <w:bCs/>
          <w:i/>
          <w:iCs/>
        </w:rPr>
        <w:t>Christianity</w:t>
      </w:r>
      <w:r w:rsidRPr="00E54204">
        <w:rPr>
          <w:bCs/>
        </w:rPr>
        <w:t>. Tübingen: J.C.B. Mohr, 1990.</w:t>
      </w:r>
    </w:p>
    <w:p w14:paraId="7DD11DD6" w14:textId="77777777" w:rsidR="002C6ACB" w:rsidRPr="00E54204" w:rsidRDefault="002C6ACB" w:rsidP="002C6ACB">
      <w:pPr>
        <w:spacing w:line="240" w:lineRule="auto"/>
        <w:ind w:firstLine="720"/>
        <w:rPr>
          <w:bCs/>
        </w:rPr>
      </w:pPr>
    </w:p>
    <w:p w14:paraId="5A728BE2" w14:textId="77777777" w:rsidR="002C6ACB" w:rsidRPr="00E54204" w:rsidRDefault="002C6ACB" w:rsidP="002C6ACB">
      <w:pPr>
        <w:spacing w:line="240" w:lineRule="auto"/>
        <w:rPr>
          <w:bCs/>
        </w:rPr>
      </w:pPr>
      <w:r w:rsidRPr="00E54204">
        <w:rPr>
          <w:bCs/>
        </w:rPr>
        <w:t>Boyarin, Daniel. </w:t>
      </w:r>
      <w:r w:rsidRPr="00E54204">
        <w:rPr>
          <w:bCs/>
          <w:i/>
          <w:iCs/>
        </w:rPr>
        <w:t>Border Lines: The Partition of Judaeo-Christianity</w:t>
      </w:r>
      <w:r w:rsidRPr="00E54204">
        <w:rPr>
          <w:bCs/>
        </w:rPr>
        <w:t xml:space="preserve">. Philadelphia: </w:t>
      </w:r>
    </w:p>
    <w:p w14:paraId="776D41BA" w14:textId="77777777" w:rsidR="002C6ACB" w:rsidRPr="00E54204" w:rsidRDefault="002C6ACB" w:rsidP="002C6ACB">
      <w:pPr>
        <w:spacing w:line="240" w:lineRule="auto"/>
        <w:ind w:firstLine="720"/>
        <w:rPr>
          <w:bCs/>
        </w:rPr>
      </w:pPr>
      <w:r w:rsidRPr="00E54204">
        <w:rPr>
          <w:bCs/>
        </w:rPr>
        <w:t>University of Pennsylvania Press, 2004.</w:t>
      </w:r>
    </w:p>
    <w:p w14:paraId="357F7A9A" w14:textId="77777777" w:rsidR="002C6ACB" w:rsidRPr="00E54204" w:rsidRDefault="002C6ACB" w:rsidP="002C6ACB">
      <w:pPr>
        <w:spacing w:line="240" w:lineRule="auto"/>
        <w:ind w:firstLine="720"/>
        <w:rPr>
          <w:bCs/>
        </w:rPr>
      </w:pPr>
    </w:p>
    <w:p w14:paraId="768F2D80" w14:textId="77777777" w:rsidR="002C6ACB" w:rsidRPr="00E54204" w:rsidRDefault="002C6ACB" w:rsidP="002C6ACB">
      <w:pPr>
        <w:spacing w:line="240" w:lineRule="auto"/>
        <w:rPr>
          <w:bCs/>
        </w:rPr>
      </w:pPr>
      <w:r w:rsidRPr="00E54204">
        <w:rPr>
          <w:bCs/>
        </w:rPr>
        <w:t>_______. </w:t>
      </w:r>
      <w:r w:rsidRPr="00E54204">
        <w:rPr>
          <w:bCs/>
          <w:i/>
          <w:iCs/>
        </w:rPr>
        <w:t>Dying for God: Martyrdom and the Making of Christianity and Judaism</w:t>
      </w:r>
      <w:r w:rsidRPr="00E54204">
        <w:rPr>
          <w:bCs/>
        </w:rPr>
        <w:t xml:space="preserve">. </w:t>
      </w:r>
    </w:p>
    <w:p w14:paraId="6DD1733F" w14:textId="77777777" w:rsidR="002C6ACB" w:rsidRPr="00E54204" w:rsidRDefault="002C6ACB" w:rsidP="002C6ACB">
      <w:pPr>
        <w:spacing w:line="240" w:lineRule="auto"/>
        <w:ind w:firstLine="720"/>
        <w:rPr>
          <w:bCs/>
        </w:rPr>
      </w:pPr>
      <w:r w:rsidRPr="00E54204">
        <w:rPr>
          <w:bCs/>
        </w:rPr>
        <w:t>Stanford, CA: Stanford University Press, 1999.</w:t>
      </w:r>
    </w:p>
    <w:p w14:paraId="173F1985" w14:textId="77777777" w:rsidR="002C6ACB" w:rsidRPr="00E54204" w:rsidRDefault="002C6ACB" w:rsidP="002C6ACB">
      <w:pPr>
        <w:spacing w:line="240" w:lineRule="auto"/>
        <w:ind w:firstLine="720"/>
        <w:rPr>
          <w:bCs/>
        </w:rPr>
      </w:pPr>
    </w:p>
    <w:p w14:paraId="6AC2D0DD" w14:textId="77777777" w:rsidR="002C6ACB" w:rsidRPr="00E54204" w:rsidRDefault="002C6ACB" w:rsidP="002C6ACB">
      <w:pPr>
        <w:spacing w:line="240" w:lineRule="auto"/>
        <w:rPr>
          <w:bCs/>
        </w:rPr>
      </w:pPr>
      <w:r w:rsidRPr="00E54204">
        <w:rPr>
          <w:bCs/>
          <w:i/>
          <w:iCs/>
        </w:rPr>
        <w:t>_______.Intertextuality and The Reading of Midrash</w:t>
      </w:r>
      <w:r w:rsidRPr="00E54204">
        <w:rPr>
          <w:bCs/>
        </w:rPr>
        <w:t xml:space="preserve">. Bloomington, IN: Indiana </w:t>
      </w:r>
    </w:p>
    <w:p w14:paraId="4ED3AE69" w14:textId="77777777" w:rsidR="002C6ACB" w:rsidRPr="00E54204" w:rsidRDefault="002C6ACB" w:rsidP="00DF7E54">
      <w:pPr>
        <w:spacing w:line="240" w:lineRule="auto"/>
        <w:ind w:firstLine="720"/>
        <w:rPr>
          <w:bCs/>
        </w:rPr>
      </w:pPr>
      <w:r w:rsidRPr="00E54204">
        <w:rPr>
          <w:bCs/>
        </w:rPr>
        <w:t>University Press, 1990.</w:t>
      </w:r>
    </w:p>
    <w:p w14:paraId="29D6E337" w14:textId="77777777" w:rsidR="002C6ACB" w:rsidRPr="00E54204" w:rsidRDefault="002C6ACB" w:rsidP="002C6ACB">
      <w:pPr>
        <w:spacing w:line="240" w:lineRule="auto"/>
        <w:ind w:firstLine="720"/>
        <w:rPr>
          <w:bCs/>
        </w:rPr>
      </w:pPr>
    </w:p>
    <w:p w14:paraId="33D76C21" w14:textId="77777777" w:rsidR="004B60D7" w:rsidRPr="00E54204" w:rsidRDefault="002C6ACB" w:rsidP="002C6ACB">
      <w:pPr>
        <w:spacing w:line="240" w:lineRule="auto"/>
        <w:rPr>
          <w:bCs/>
        </w:rPr>
      </w:pPr>
      <w:r w:rsidRPr="00E54204">
        <w:rPr>
          <w:bCs/>
        </w:rPr>
        <w:t xml:space="preserve">Chajes, Z.H. </w:t>
      </w:r>
      <w:r w:rsidR="00DF7E54" w:rsidRPr="00E54204">
        <w:rPr>
          <w:bCs/>
          <w:i/>
        </w:rPr>
        <w:t>The Student’s Guide through</w:t>
      </w:r>
      <w:r w:rsidRPr="00E54204">
        <w:rPr>
          <w:bCs/>
          <w:i/>
        </w:rPr>
        <w:t xml:space="preserve"> the Talmud</w:t>
      </w:r>
      <w:r w:rsidRPr="00E54204">
        <w:rPr>
          <w:bCs/>
        </w:rPr>
        <w:t xml:space="preserve">. New York: Philipp Feldheim, </w:t>
      </w:r>
    </w:p>
    <w:p w14:paraId="6A5BFBD6" w14:textId="77777777" w:rsidR="002C6ACB" w:rsidRPr="00E54204" w:rsidRDefault="002C6ACB" w:rsidP="004B60D7">
      <w:pPr>
        <w:spacing w:line="240" w:lineRule="auto"/>
        <w:ind w:firstLine="720"/>
        <w:rPr>
          <w:bCs/>
        </w:rPr>
      </w:pPr>
      <w:r w:rsidRPr="00E54204">
        <w:rPr>
          <w:bCs/>
        </w:rPr>
        <w:t>1960.</w:t>
      </w:r>
    </w:p>
    <w:p w14:paraId="65D93661" w14:textId="77777777" w:rsidR="00AB3130" w:rsidRPr="00E54204" w:rsidRDefault="00AB3130" w:rsidP="002C6ACB">
      <w:pPr>
        <w:spacing w:line="240" w:lineRule="auto"/>
        <w:rPr>
          <w:bCs/>
        </w:rPr>
      </w:pPr>
    </w:p>
    <w:p w14:paraId="590807D2" w14:textId="77777777" w:rsidR="004B60D7" w:rsidRPr="00E54204" w:rsidRDefault="00AB3130" w:rsidP="004B60D7">
      <w:pPr>
        <w:spacing w:line="240" w:lineRule="auto"/>
        <w:rPr>
          <w:bCs/>
        </w:rPr>
      </w:pPr>
      <w:r w:rsidRPr="00E54204">
        <w:rPr>
          <w:bCs/>
        </w:rPr>
        <w:t>Chernick, Michael L., ed. </w:t>
      </w:r>
      <w:r w:rsidRPr="00E54204">
        <w:rPr>
          <w:bCs/>
          <w:i/>
          <w:iCs/>
        </w:rPr>
        <w:t>Essential Papers on the Talmud</w:t>
      </w:r>
      <w:r w:rsidRPr="00E54204">
        <w:rPr>
          <w:bCs/>
        </w:rPr>
        <w:t xml:space="preserve">. New York: New York </w:t>
      </w:r>
    </w:p>
    <w:p w14:paraId="2420E24D" w14:textId="77777777" w:rsidR="00AB3130" w:rsidRPr="00E54204" w:rsidRDefault="00AB3130" w:rsidP="004B60D7">
      <w:pPr>
        <w:spacing w:line="240" w:lineRule="auto"/>
        <w:ind w:firstLine="720"/>
        <w:rPr>
          <w:bCs/>
        </w:rPr>
      </w:pPr>
      <w:r w:rsidRPr="00E54204">
        <w:rPr>
          <w:bCs/>
        </w:rPr>
        <w:t>University Press, 1994.</w:t>
      </w:r>
    </w:p>
    <w:p w14:paraId="1C9663BD" w14:textId="77777777" w:rsidR="00424A9A" w:rsidRPr="00E54204" w:rsidRDefault="00424A9A" w:rsidP="00424A9A">
      <w:pPr>
        <w:spacing w:line="240" w:lineRule="auto"/>
        <w:rPr>
          <w:bCs/>
        </w:rPr>
      </w:pPr>
    </w:p>
    <w:p w14:paraId="507D133D" w14:textId="77777777" w:rsidR="00424A9A" w:rsidRPr="00E54204" w:rsidRDefault="00424A9A" w:rsidP="00424A9A">
      <w:pPr>
        <w:spacing w:line="240" w:lineRule="auto"/>
        <w:rPr>
          <w:bCs/>
        </w:rPr>
      </w:pPr>
      <w:r w:rsidRPr="00E54204">
        <w:rPr>
          <w:bCs/>
        </w:rPr>
        <w:t>Coggins, R. J., and Michael A. Knibb. </w:t>
      </w:r>
      <w:r w:rsidRPr="00E54204">
        <w:rPr>
          <w:bCs/>
          <w:i/>
          <w:iCs/>
        </w:rPr>
        <w:t>The First and Second Books of Esdras</w:t>
      </w:r>
      <w:r w:rsidRPr="00E54204">
        <w:rPr>
          <w:bCs/>
        </w:rPr>
        <w:t xml:space="preserve">. </w:t>
      </w:r>
    </w:p>
    <w:p w14:paraId="6957F33C" w14:textId="77777777" w:rsidR="00424A9A" w:rsidRPr="00E54204" w:rsidRDefault="00424A9A" w:rsidP="00424A9A">
      <w:pPr>
        <w:spacing w:line="240" w:lineRule="auto"/>
        <w:ind w:firstLine="720"/>
        <w:rPr>
          <w:bCs/>
        </w:rPr>
      </w:pPr>
      <w:r w:rsidRPr="00E54204">
        <w:rPr>
          <w:bCs/>
        </w:rPr>
        <w:t>Cambridge: Cambridge University Press, 1979.</w:t>
      </w:r>
    </w:p>
    <w:p w14:paraId="6E1B2A19" w14:textId="77777777" w:rsidR="00424A9A" w:rsidRPr="00E54204" w:rsidRDefault="00424A9A" w:rsidP="004B60D7">
      <w:pPr>
        <w:spacing w:line="240" w:lineRule="auto"/>
        <w:rPr>
          <w:bCs/>
        </w:rPr>
      </w:pPr>
    </w:p>
    <w:p w14:paraId="232AF11A" w14:textId="77777777" w:rsidR="008E1AC3" w:rsidRPr="00E54204" w:rsidRDefault="008E1AC3" w:rsidP="004B60D7">
      <w:pPr>
        <w:spacing w:line="240" w:lineRule="auto"/>
        <w:rPr>
          <w:bCs/>
        </w:rPr>
      </w:pPr>
    </w:p>
    <w:p w14:paraId="41703B33" w14:textId="77777777" w:rsidR="008E1AC3" w:rsidRPr="00E54204" w:rsidRDefault="008E1AC3" w:rsidP="004B60D7">
      <w:pPr>
        <w:spacing w:line="240" w:lineRule="auto"/>
        <w:rPr>
          <w:bCs/>
        </w:rPr>
      </w:pPr>
    </w:p>
    <w:p w14:paraId="099BFBAE" w14:textId="77777777" w:rsidR="008E1AC3" w:rsidRPr="00E54204" w:rsidRDefault="008E1AC3" w:rsidP="004B60D7">
      <w:pPr>
        <w:spacing w:line="240" w:lineRule="auto"/>
        <w:rPr>
          <w:bCs/>
        </w:rPr>
      </w:pPr>
    </w:p>
    <w:p w14:paraId="4013081F" w14:textId="77777777" w:rsidR="004B60D7" w:rsidRPr="00E54204" w:rsidRDefault="002C6ACB" w:rsidP="004B60D7">
      <w:pPr>
        <w:spacing w:line="240" w:lineRule="auto"/>
        <w:rPr>
          <w:bCs/>
        </w:rPr>
      </w:pPr>
      <w:r w:rsidRPr="00E54204">
        <w:rPr>
          <w:bCs/>
        </w:rPr>
        <w:t xml:space="preserve">Cohen, Shaye J.D.. 1984. “The Significance of Yavneh: Pharisees, Rabbis, and the End </w:t>
      </w:r>
    </w:p>
    <w:p w14:paraId="352B52CC" w14:textId="77777777" w:rsidR="004B60D7" w:rsidRPr="00E54204" w:rsidRDefault="002C6ACB" w:rsidP="004B60D7">
      <w:pPr>
        <w:spacing w:line="240" w:lineRule="auto"/>
        <w:ind w:firstLine="720"/>
        <w:rPr>
          <w:bCs/>
        </w:rPr>
      </w:pPr>
      <w:r w:rsidRPr="00E54204">
        <w:rPr>
          <w:bCs/>
        </w:rPr>
        <w:t>of Jewish Sectarianism”. </w:t>
      </w:r>
      <w:r w:rsidRPr="00E54204">
        <w:rPr>
          <w:bCs/>
          <w:i/>
          <w:iCs/>
        </w:rPr>
        <w:t>Hebrew Union College Annual</w:t>
      </w:r>
      <w:r w:rsidRPr="00E54204">
        <w:rPr>
          <w:bCs/>
        </w:rPr>
        <w:t xml:space="preserve"> 55. Hebrew Union </w:t>
      </w:r>
    </w:p>
    <w:p w14:paraId="5A14252A" w14:textId="77777777" w:rsidR="008E1AC3" w:rsidRPr="00E54204" w:rsidRDefault="002C6ACB" w:rsidP="00CC4370">
      <w:pPr>
        <w:spacing w:line="240" w:lineRule="auto"/>
        <w:ind w:left="720"/>
        <w:rPr>
          <w:bCs/>
        </w:rPr>
      </w:pPr>
      <w:r w:rsidRPr="00E54204">
        <w:rPr>
          <w:bCs/>
        </w:rPr>
        <w:t>College - Jewis</w:t>
      </w:r>
      <w:r w:rsidR="00CC4370" w:rsidRPr="00E54204">
        <w:rPr>
          <w:bCs/>
        </w:rPr>
        <w:t>h Institute of R</w:t>
      </w:r>
      <w:r w:rsidR="008E1AC3" w:rsidRPr="00E54204">
        <w:rPr>
          <w:bCs/>
        </w:rPr>
        <w:t>eligion: 27–53.</w:t>
      </w:r>
    </w:p>
    <w:p w14:paraId="51E299EB" w14:textId="77777777" w:rsidR="002C6ACB" w:rsidRPr="00E54204" w:rsidRDefault="002C6ACB" w:rsidP="00CC4370">
      <w:pPr>
        <w:spacing w:line="240" w:lineRule="auto"/>
        <w:ind w:left="720"/>
        <w:rPr>
          <w:bCs/>
        </w:rPr>
      </w:pPr>
      <w:r w:rsidRPr="00E54204">
        <w:rPr>
          <w:bCs/>
        </w:rPr>
        <w:t>http://www.jstor.org/stable/23507609.</w:t>
      </w:r>
    </w:p>
    <w:p w14:paraId="7D37A828" w14:textId="77777777" w:rsidR="002C6ACB" w:rsidRPr="00E54204" w:rsidRDefault="002C6ACB" w:rsidP="002C6ACB">
      <w:pPr>
        <w:spacing w:line="240" w:lineRule="auto"/>
        <w:ind w:left="720"/>
        <w:rPr>
          <w:bCs/>
        </w:rPr>
      </w:pPr>
    </w:p>
    <w:p w14:paraId="5B3AF3ED" w14:textId="77777777" w:rsidR="004B60D7" w:rsidRPr="00E54204" w:rsidRDefault="002C6ACB" w:rsidP="004B60D7">
      <w:pPr>
        <w:spacing w:line="240" w:lineRule="auto"/>
        <w:rPr>
          <w:bCs/>
          <w:i/>
          <w:iCs/>
        </w:rPr>
      </w:pPr>
      <w:r w:rsidRPr="00E54204">
        <w:rPr>
          <w:bCs/>
        </w:rPr>
        <w:t>Collins, John J. </w:t>
      </w:r>
      <w:r w:rsidRPr="00E54204">
        <w:rPr>
          <w:bCs/>
          <w:i/>
          <w:iCs/>
        </w:rPr>
        <w:t xml:space="preserve">The Apocalyptic Imagination: An Introduction to Jewish Apocalyptic </w:t>
      </w:r>
    </w:p>
    <w:p w14:paraId="7FACAC6D" w14:textId="77777777" w:rsidR="002C6ACB" w:rsidRPr="00E54204" w:rsidRDefault="002C6ACB" w:rsidP="004B60D7">
      <w:pPr>
        <w:spacing w:line="240" w:lineRule="auto"/>
        <w:ind w:firstLine="720"/>
        <w:rPr>
          <w:bCs/>
        </w:rPr>
      </w:pPr>
      <w:r w:rsidRPr="00E54204">
        <w:rPr>
          <w:bCs/>
          <w:i/>
          <w:iCs/>
        </w:rPr>
        <w:t>Literature</w:t>
      </w:r>
      <w:r w:rsidR="004B60D7" w:rsidRPr="00E54204">
        <w:rPr>
          <w:bCs/>
        </w:rPr>
        <w:t xml:space="preserve">. </w:t>
      </w:r>
      <w:r w:rsidRPr="00E54204">
        <w:rPr>
          <w:bCs/>
        </w:rPr>
        <w:t>Grand Rapids, MI: William B. Eerdmans, 1998.</w:t>
      </w:r>
    </w:p>
    <w:p w14:paraId="1E5FCFEE" w14:textId="77777777" w:rsidR="002C6ACB" w:rsidRPr="00E54204" w:rsidRDefault="002C6ACB" w:rsidP="002C6ACB">
      <w:pPr>
        <w:spacing w:line="240" w:lineRule="auto"/>
        <w:ind w:firstLine="720"/>
        <w:rPr>
          <w:bCs/>
        </w:rPr>
      </w:pPr>
    </w:p>
    <w:p w14:paraId="5CB89A87" w14:textId="77777777" w:rsidR="002C6ACB" w:rsidRPr="00E54204" w:rsidRDefault="002C6ACB" w:rsidP="00AD2306">
      <w:pPr>
        <w:spacing w:line="240" w:lineRule="auto"/>
        <w:ind w:left="720"/>
        <w:rPr>
          <w:bCs/>
        </w:rPr>
      </w:pPr>
      <w:r w:rsidRPr="00E54204">
        <w:rPr>
          <w:bCs/>
        </w:rPr>
        <w:t>_______.</w:t>
      </w:r>
      <w:r w:rsidR="00AD2306" w:rsidRPr="00E54204">
        <w:rPr>
          <w:rFonts w:hint="eastAsia"/>
          <w:bCs/>
        </w:rPr>
        <w:t>, Frank Moore Cross, and Adela Yarbro Collins. </w:t>
      </w:r>
      <w:r w:rsidR="00AD2306" w:rsidRPr="00E54204">
        <w:rPr>
          <w:rFonts w:hint="eastAsia"/>
          <w:bCs/>
          <w:i/>
          <w:iCs/>
        </w:rPr>
        <w:t>Daniel: A Commentary on the Book of Daniel</w:t>
      </w:r>
      <w:r w:rsidR="00AD2306" w:rsidRPr="00E54204">
        <w:rPr>
          <w:rFonts w:hint="eastAsia"/>
          <w:bCs/>
        </w:rPr>
        <w:t>. Minneapolis: Fortress Press, 1993.</w:t>
      </w:r>
    </w:p>
    <w:p w14:paraId="310D084F" w14:textId="77777777" w:rsidR="002C6ACB" w:rsidRPr="00E54204" w:rsidRDefault="002C6ACB" w:rsidP="002C6ACB">
      <w:pPr>
        <w:spacing w:line="240" w:lineRule="auto"/>
        <w:ind w:firstLine="720"/>
        <w:rPr>
          <w:bCs/>
        </w:rPr>
      </w:pPr>
    </w:p>
    <w:p w14:paraId="5C047B51" w14:textId="77777777" w:rsidR="002C6ACB" w:rsidRPr="00E54204" w:rsidRDefault="002C6ACB" w:rsidP="002C6ACB">
      <w:pPr>
        <w:spacing w:line="240" w:lineRule="auto"/>
        <w:rPr>
          <w:rFonts w:cs="Times New Roman"/>
          <w:color w:val="000000"/>
          <w:szCs w:val="24"/>
        </w:rPr>
      </w:pPr>
      <w:r w:rsidRPr="00E54204">
        <w:rPr>
          <w:rFonts w:cs="Times New Roman"/>
          <w:color w:val="000000"/>
          <w:szCs w:val="24"/>
        </w:rPr>
        <w:t>Cook, L. Stephen.</w:t>
      </w:r>
      <w:r w:rsidRPr="00E54204">
        <w:rPr>
          <w:rStyle w:val="apple-converted-space"/>
          <w:rFonts w:cs="Times New Roman"/>
          <w:color w:val="000000"/>
          <w:szCs w:val="24"/>
        </w:rPr>
        <w:t> </w:t>
      </w:r>
      <w:r w:rsidRPr="00E54204">
        <w:rPr>
          <w:rFonts w:cs="Times New Roman"/>
          <w:i/>
          <w:iCs/>
          <w:color w:val="000000"/>
          <w:szCs w:val="24"/>
        </w:rPr>
        <w:t>On the Question of the "Cessation of Prophecy" in Ancient Judaism</w:t>
      </w:r>
      <w:r w:rsidRPr="00E54204">
        <w:rPr>
          <w:rFonts w:cs="Times New Roman"/>
          <w:color w:val="000000"/>
          <w:szCs w:val="24"/>
        </w:rPr>
        <w:t xml:space="preserve">. </w:t>
      </w:r>
    </w:p>
    <w:p w14:paraId="32FBAA3E" w14:textId="77777777" w:rsidR="002C6ACB" w:rsidRPr="00E54204" w:rsidRDefault="002C6ACB" w:rsidP="002C6ACB">
      <w:pPr>
        <w:spacing w:line="240" w:lineRule="auto"/>
        <w:ind w:firstLine="720"/>
        <w:rPr>
          <w:rFonts w:cs="Times New Roman"/>
          <w:color w:val="000000"/>
          <w:szCs w:val="24"/>
        </w:rPr>
      </w:pPr>
      <w:r w:rsidRPr="00E54204">
        <w:rPr>
          <w:rFonts w:cs="Times New Roman"/>
          <w:color w:val="000000"/>
          <w:szCs w:val="24"/>
        </w:rPr>
        <w:t>Tübingen: Mohr Siebeck, 2011.</w:t>
      </w:r>
    </w:p>
    <w:p w14:paraId="7BBEE1DD" w14:textId="77777777" w:rsidR="002C6ACB" w:rsidRPr="00E54204" w:rsidRDefault="002C6ACB" w:rsidP="002C6ACB">
      <w:pPr>
        <w:spacing w:line="240" w:lineRule="auto"/>
        <w:ind w:firstLine="720"/>
        <w:rPr>
          <w:rFonts w:cs="Times New Roman"/>
          <w:color w:val="000000"/>
          <w:szCs w:val="24"/>
        </w:rPr>
      </w:pPr>
    </w:p>
    <w:p w14:paraId="64EBD737" w14:textId="77777777" w:rsidR="004B60D7" w:rsidRPr="00E54204" w:rsidRDefault="002C6ACB" w:rsidP="004B60D7">
      <w:pPr>
        <w:spacing w:line="240" w:lineRule="auto"/>
        <w:rPr>
          <w:rFonts w:cs="Times New Roman"/>
          <w:bCs/>
          <w:i/>
          <w:iCs/>
          <w:color w:val="000000"/>
          <w:szCs w:val="24"/>
        </w:rPr>
      </w:pPr>
      <w:r w:rsidRPr="00E54204">
        <w:rPr>
          <w:rFonts w:cs="Times New Roman"/>
          <w:bCs/>
          <w:color w:val="000000"/>
          <w:szCs w:val="24"/>
        </w:rPr>
        <w:t>Dalman, Gustaf, and D. M. Kay. </w:t>
      </w:r>
      <w:r w:rsidRPr="00E54204">
        <w:rPr>
          <w:rFonts w:cs="Times New Roman"/>
          <w:bCs/>
          <w:i/>
          <w:iCs/>
          <w:color w:val="000000"/>
          <w:szCs w:val="24"/>
        </w:rPr>
        <w:t>The Words of Jesus Considere</w:t>
      </w:r>
      <w:r w:rsidR="004B60D7" w:rsidRPr="00E54204">
        <w:rPr>
          <w:rFonts w:cs="Times New Roman"/>
          <w:bCs/>
          <w:i/>
          <w:iCs/>
          <w:color w:val="000000"/>
          <w:szCs w:val="24"/>
        </w:rPr>
        <w:t>d in the Light of Post-</w:t>
      </w:r>
    </w:p>
    <w:p w14:paraId="46AC439A" w14:textId="77777777" w:rsidR="002C6ACB" w:rsidRPr="00E54204" w:rsidRDefault="004B60D7" w:rsidP="00AD2306">
      <w:pPr>
        <w:spacing w:line="240" w:lineRule="auto"/>
        <w:ind w:left="720"/>
        <w:rPr>
          <w:rFonts w:cs="Times New Roman"/>
          <w:bCs/>
          <w:i/>
          <w:iCs/>
          <w:color w:val="000000"/>
          <w:szCs w:val="24"/>
        </w:rPr>
      </w:pPr>
      <w:r w:rsidRPr="00E54204">
        <w:rPr>
          <w:rFonts w:cs="Times New Roman"/>
          <w:bCs/>
          <w:i/>
          <w:iCs/>
          <w:color w:val="000000"/>
          <w:szCs w:val="24"/>
        </w:rPr>
        <w:t xml:space="preserve">Biblical </w:t>
      </w:r>
      <w:r w:rsidR="002C6ACB" w:rsidRPr="00E54204">
        <w:rPr>
          <w:rFonts w:cs="Times New Roman"/>
          <w:bCs/>
          <w:i/>
          <w:iCs/>
          <w:color w:val="000000"/>
          <w:szCs w:val="24"/>
        </w:rPr>
        <w:t>Jewish Writings and the Aramaic Language,</w:t>
      </w:r>
      <w:r w:rsidR="002C6ACB" w:rsidRPr="00E54204">
        <w:rPr>
          <w:rFonts w:cs="Times New Roman"/>
          <w:bCs/>
          <w:color w:val="000000"/>
          <w:szCs w:val="24"/>
        </w:rPr>
        <w:t>. Authorized English Version by D.M. Kay. ed. Edinburgh: T. &amp; T. Clark, 1902.</w:t>
      </w:r>
    </w:p>
    <w:p w14:paraId="59AA56FE" w14:textId="77777777" w:rsidR="002C6ACB" w:rsidRPr="00E54204" w:rsidRDefault="002C6ACB" w:rsidP="002C6ACB">
      <w:pPr>
        <w:spacing w:line="240" w:lineRule="auto"/>
        <w:ind w:firstLine="720"/>
        <w:rPr>
          <w:rFonts w:cs="Times New Roman"/>
          <w:color w:val="000000"/>
          <w:szCs w:val="24"/>
        </w:rPr>
      </w:pPr>
    </w:p>
    <w:p w14:paraId="76D82543" w14:textId="77777777" w:rsidR="004B60D7" w:rsidRPr="00E54204" w:rsidRDefault="002C6ACB" w:rsidP="004B60D7">
      <w:pPr>
        <w:spacing w:line="240" w:lineRule="auto"/>
        <w:rPr>
          <w:rFonts w:cs="Times New Roman"/>
          <w:bCs/>
          <w:color w:val="000000"/>
          <w:szCs w:val="24"/>
        </w:rPr>
      </w:pPr>
      <w:r w:rsidRPr="00E54204">
        <w:rPr>
          <w:rFonts w:cs="Times New Roman"/>
          <w:bCs/>
          <w:color w:val="000000"/>
          <w:szCs w:val="24"/>
        </w:rPr>
        <w:t>Deland, Adrien. </w:t>
      </w:r>
      <w:r w:rsidRPr="00E54204">
        <w:rPr>
          <w:rFonts w:cs="Times New Roman"/>
          <w:bCs/>
          <w:i/>
          <w:iCs/>
          <w:color w:val="000000"/>
          <w:szCs w:val="24"/>
        </w:rPr>
        <w:t>Antiquitates Sacrae Veterum Hebraeorum.</w:t>
      </w:r>
      <w:r w:rsidRPr="00E54204">
        <w:rPr>
          <w:rFonts w:cs="Times New Roman"/>
          <w:bCs/>
          <w:color w:val="000000"/>
          <w:szCs w:val="24"/>
        </w:rPr>
        <w:t> Quarta ed. Broadelet: Traiec</w:t>
      </w:r>
      <w:r w:rsidR="004B60D7" w:rsidRPr="00E54204">
        <w:rPr>
          <w:rFonts w:cs="Times New Roman"/>
          <w:bCs/>
          <w:color w:val="000000"/>
          <w:szCs w:val="24"/>
        </w:rPr>
        <w:t xml:space="preserve">ti </w:t>
      </w:r>
    </w:p>
    <w:p w14:paraId="5D1A771F" w14:textId="77777777" w:rsidR="002C6ACB" w:rsidRPr="00E54204" w:rsidRDefault="004B60D7" w:rsidP="004B60D7">
      <w:pPr>
        <w:spacing w:line="240" w:lineRule="auto"/>
        <w:ind w:firstLine="720"/>
        <w:rPr>
          <w:rFonts w:cs="Times New Roman"/>
          <w:bCs/>
          <w:color w:val="000000"/>
          <w:szCs w:val="24"/>
        </w:rPr>
      </w:pPr>
      <w:r w:rsidRPr="00E54204">
        <w:rPr>
          <w:rFonts w:cs="Times New Roman"/>
          <w:bCs/>
          <w:color w:val="000000"/>
          <w:szCs w:val="24"/>
        </w:rPr>
        <w:t xml:space="preserve">Ad </w:t>
      </w:r>
      <w:r w:rsidR="002C6ACB" w:rsidRPr="00E54204">
        <w:rPr>
          <w:rFonts w:cs="Times New Roman"/>
          <w:bCs/>
          <w:color w:val="000000"/>
          <w:szCs w:val="24"/>
        </w:rPr>
        <w:t>Rhenum: Ex Libraria Ioannis Broedelet, 1741.</w:t>
      </w:r>
    </w:p>
    <w:p w14:paraId="5B58BCCC" w14:textId="77777777" w:rsidR="002C6ACB" w:rsidRPr="00E54204" w:rsidRDefault="002C6ACB" w:rsidP="002C6ACB">
      <w:pPr>
        <w:spacing w:line="240" w:lineRule="auto"/>
        <w:ind w:firstLine="720"/>
        <w:rPr>
          <w:rFonts w:cs="Times New Roman"/>
          <w:bCs/>
          <w:color w:val="000000"/>
          <w:szCs w:val="24"/>
        </w:rPr>
      </w:pPr>
    </w:p>
    <w:p w14:paraId="764FC475" w14:textId="77777777" w:rsidR="002C6ACB" w:rsidRPr="00E54204" w:rsidRDefault="002C6ACB" w:rsidP="002C6ACB">
      <w:pPr>
        <w:spacing w:line="240" w:lineRule="auto"/>
        <w:rPr>
          <w:rFonts w:cs="Times New Roman"/>
          <w:bCs/>
          <w:color w:val="000000"/>
          <w:szCs w:val="24"/>
        </w:rPr>
      </w:pPr>
      <w:r w:rsidRPr="00E54204">
        <w:rPr>
          <w:rFonts w:cs="Times New Roman"/>
          <w:bCs/>
          <w:color w:val="000000"/>
          <w:szCs w:val="24"/>
        </w:rPr>
        <w:t>Epstein, Isidore, ed. </w:t>
      </w:r>
      <w:r w:rsidR="00F24990" w:rsidRPr="00E54204">
        <w:rPr>
          <w:rFonts w:cs="Times New Roman"/>
          <w:bCs/>
          <w:i/>
          <w:iCs/>
          <w:color w:val="000000"/>
          <w:szCs w:val="24"/>
        </w:rPr>
        <w:t>Berakhot</w:t>
      </w:r>
      <w:r w:rsidRPr="00E54204">
        <w:rPr>
          <w:rFonts w:cs="Times New Roman"/>
          <w:bCs/>
          <w:i/>
          <w:iCs/>
          <w:color w:val="000000"/>
          <w:szCs w:val="24"/>
        </w:rPr>
        <w:t>: Translated into English with Notes, Glossary and Indices</w:t>
      </w:r>
      <w:r w:rsidRPr="00E54204">
        <w:rPr>
          <w:rFonts w:cs="Times New Roman"/>
          <w:bCs/>
          <w:color w:val="000000"/>
          <w:szCs w:val="24"/>
        </w:rPr>
        <w:t xml:space="preserve">. </w:t>
      </w:r>
    </w:p>
    <w:p w14:paraId="6D30C159" w14:textId="77777777" w:rsidR="002C6ACB" w:rsidRPr="00E54204" w:rsidRDefault="002C6ACB" w:rsidP="002C6ACB">
      <w:pPr>
        <w:spacing w:line="240" w:lineRule="auto"/>
        <w:ind w:firstLine="720"/>
        <w:rPr>
          <w:rFonts w:cs="Times New Roman"/>
          <w:bCs/>
          <w:color w:val="000000"/>
          <w:szCs w:val="24"/>
        </w:rPr>
      </w:pPr>
      <w:r w:rsidRPr="00E54204">
        <w:rPr>
          <w:rFonts w:cs="Times New Roman"/>
          <w:bCs/>
          <w:color w:val="000000"/>
          <w:szCs w:val="24"/>
        </w:rPr>
        <w:t>Translated by Maurice Simon. London: Soncino Press, 1948.</w:t>
      </w:r>
    </w:p>
    <w:p w14:paraId="0276757D" w14:textId="77777777" w:rsidR="002C6ACB" w:rsidRPr="00E54204" w:rsidRDefault="002C6ACB" w:rsidP="002C6ACB">
      <w:pPr>
        <w:spacing w:line="240" w:lineRule="auto"/>
        <w:ind w:firstLine="720"/>
        <w:rPr>
          <w:rFonts w:cs="Times New Roman"/>
          <w:color w:val="000000"/>
          <w:szCs w:val="24"/>
        </w:rPr>
      </w:pPr>
    </w:p>
    <w:p w14:paraId="1585DD28" w14:textId="77777777" w:rsidR="002C6ACB" w:rsidRPr="00E54204" w:rsidRDefault="002C6ACB" w:rsidP="00AD2306">
      <w:pPr>
        <w:spacing w:line="240" w:lineRule="auto"/>
        <w:rPr>
          <w:rFonts w:cs="Times New Roman"/>
          <w:szCs w:val="24"/>
        </w:rPr>
      </w:pPr>
      <w:r w:rsidRPr="00E54204">
        <w:rPr>
          <w:rFonts w:cs="Times New Roman"/>
          <w:bCs/>
          <w:szCs w:val="24"/>
        </w:rPr>
        <w:t>_______. </w:t>
      </w:r>
      <w:r w:rsidRPr="00E54204">
        <w:rPr>
          <w:rFonts w:cs="Times New Roman"/>
          <w:bCs/>
          <w:i/>
          <w:iCs/>
          <w:szCs w:val="24"/>
        </w:rPr>
        <w:t>Hebrew-English edition of the Babylonian Talmud</w:t>
      </w:r>
      <w:r w:rsidRPr="00E54204">
        <w:rPr>
          <w:rFonts w:cs="Times New Roman"/>
          <w:bCs/>
          <w:szCs w:val="24"/>
        </w:rPr>
        <w:t>. London: Soncino, 1960.</w:t>
      </w:r>
    </w:p>
    <w:p w14:paraId="4B820978" w14:textId="77777777" w:rsidR="002C6ACB" w:rsidRPr="00E54204" w:rsidRDefault="002C6ACB" w:rsidP="002C6ACB">
      <w:pPr>
        <w:spacing w:line="240" w:lineRule="auto"/>
        <w:ind w:firstLine="720"/>
      </w:pPr>
    </w:p>
    <w:p w14:paraId="56B22B71" w14:textId="77777777" w:rsidR="004B60D7" w:rsidRPr="00E54204" w:rsidRDefault="002C6ACB" w:rsidP="004B60D7">
      <w:pPr>
        <w:spacing w:line="240" w:lineRule="auto"/>
        <w:rPr>
          <w:i/>
        </w:rPr>
      </w:pPr>
      <w:r w:rsidRPr="00E54204">
        <w:t xml:space="preserve">Feldman, Louis H. and Meyer Reinhold. </w:t>
      </w:r>
      <w:r w:rsidRPr="00E54204">
        <w:rPr>
          <w:i/>
        </w:rPr>
        <w:t>Jewish Life and Th</w:t>
      </w:r>
      <w:r w:rsidR="004B60D7" w:rsidRPr="00E54204">
        <w:rPr>
          <w:i/>
        </w:rPr>
        <w:t xml:space="preserve">ought among Greeks and </w:t>
      </w:r>
    </w:p>
    <w:p w14:paraId="0C3968A4" w14:textId="77777777" w:rsidR="002C6ACB" w:rsidRPr="00E54204" w:rsidRDefault="004B60D7" w:rsidP="004B60D7">
      <w:pPr>
        <w:spacing w:line="240" w:lineRule="auto"/>
        <w:ind w:firstLine="720"/>
        <w:rPr>
          <w:i/>
        </w:rPr>
      </w:pPr>
      <w:r w:rsidRPr="00E54204">
        <w:rPr>
          <w:i/>
        </w:rPr>
        <w:t xml:space="preserve">Romans: </w:t>
      </w:r>
      <w:r w:rsidR="002C6ACB" w:rsidRPr="00E54204">
        <w:rPr>
          <w:i/>
        </w:rPr>
        <w:t>Primary Readings</w:t>
      </w:r>
      <w:r w:rsidR="002C6ACB" w:rsidRPr="00E54204">
        <w:t>. Minneapolis: Fortress Press, 1996.</w:t>
      </w:r>
    </w:p>
    <w:p w14:paraId="11702636" w14:textId="77777777" w:rsidR="002C6ACB" w:rsidRPr="00E54204" w:rsidRDefault="002C6ACB" w:rsidP="00E21254">
      <w:pPr>
        <w:spacing w:line="240" w:lineRule="auto"/>
      </w:pPr>
    </w:p>
    <w:p w14:paraId="167695CD" w14:textId="77777777" w:rsidR="004B60D7" w:rsidRPr="00E54204" w:rsidRDefault="002C6ACB" w:rsidP="004B60D7">
      <w:pPr>
        <w:spacing w:line="240" w:lineRule="auto"/>
        <w:rPr>
          <w:i/>
          <w:iCs/>
        </w:rPr>
      </w:pPr>
      <w:r w:rsidRPr="00E54204">
        <w:t>Finkelstein, Louis. 1941. “The Sources of the Tannaitic Midrashim”. </w:t>
      </w:r>
      <w:r w:rsidR="004B60D7" w:rsidRPr="00E54204">
        <w:rPr>
          <w:i/>
          <w:iCs/>
        </w:rPr>
        <w:t xml:space="preserve">The Jewish </w:t>
      </w:r>
    </w:p>
    <w:p w14:paraId="5E5D8514" w14:textId="77777777" w:rsidR="004B60D7" w:rsidRPr="00E54204" w:rsidRDefault="004B60D7" w:rsidP="004B60D7">
      <w:pPr>
        <w:spacing w:line="240" w:lineRule="auto"/>
        <w:ind w:firstLine="720"/>
      </w:pPr>
      <w:r w:rsidRPr="00E54204">
        <w:rPr>
          <w:i/>
          <w:iCs/>
        </w:rPr>
        <w:t xml:space="preserve">Quarterly </w:t>
      </w:r>
      <w:r w:rsidR="002C6ACB" w:rsidRPr="00E54204">
        <w:rPr>
          <w:i/>
          <w:iCs/>
        </w:rPr>
        <w:t>Review</w:t>
      </w:r>
      <w:r w:rsidR="002C6ACB" w:rsidRPr="00E54204">
        <w:t xml:space="preserve"> 31 (3). [University of Pennsylvania Press, Center for Advanced </w:t>
      </w:r>
    </w:p>
    <w:p w14:paraId="44C74587" w14:textId="77777777" w:rsidR="002C6ACB" w:rsidRPr="00E54204" w:rsidRDefault="002C6ACB" w:rsidP="004B60D7">
      <w:pPr>
        <w:spacing w:line="240" w:lineRule="auto"/>
        <w:ind w:firstLine="720"/>
        <w:rPr>
          <w:i/>
          <w:iCs/>
        </w:rPr>
      </w:pPr>
      <w:r w:rsidRPr="00E54204">
        <w:t>Judaic Studies, University of Pennsylvania]: 211–43. doi:10.2307/1452573.</w:t>
      </w:r>
    </w:p>
    <w:p w14:paraId="2BC33026" w14:textId="77777777" w:rsidR="002C6ACB" w:rsidRPr="00E54204" w:rsidRDefault="002C6ACB" w:rsidP="002C6ACB">
      <w:pPr>
        <w:spacing w:line="240" w:lineRule="auto"/>
        <w:ind w:left="720"/>
      </w:pPr>
    </w:p>
    <w:p w14:paraId="7A1AEF0D" w14:textId="77777777" w:rsidR="002C6ACB" w:rsidRPr="00E54204" w:rsidRDefault="002C6ACB" w:rsidP="002C6ACB">
      <w:pPr>
        <w:spacing w:line="240" w:lineRule="auto"/>
      </w:pPr>
      <w:r w:rsidRPr="00E54204">
        <w:t xml:space="preserve">Fisch, Menachem. </w:t>
      </w:r>
      <w:r w:rsidRPr="00E54204">
        <w:rPr>
          <w:i/>
        </w:rPr>
        <w:t>Rational Rabbis: Science and Talmudic Culture</w:t>
      </w:r>
      <w:r w:rsidRPr="00E54204">
        <w:t xml:space="preserve">. Indianapolis: Indiana </w:t>
      </w:r>
    </w:p>
    <w:p w14:paraId="7651D056" w14:textId="77777777" w:rsidR="002C6ACB" w:rsidRPr="00E54204" w:rsidRDefault="002C6ACB" w:rsidP="002C6ACB">
      <w:pPr>
        <w:spacing w:line="240" w:lineRule="auto"/>
        <w:ind w:firstLine="720"/>
      </w:pPr>
      <w:r w:rsidRPr="00E54204">
        <w:t>University Press, 1997.</w:t>
      </w:r>
    </w:p>
    <w:p w14:paraId="3BB274F2" w14:textId="77777777" w:rsidR="002C6ACB" w:rsidRPr="00E54204" w:rsidRDefault="002C6ACB" w:rsidP="002C6ACB">
      <w:pPr>
        <w:spacing w:line="240" w:lineRule="auto"/>
        <w:ind w:firstLine="720"/>
      </w:pPr>
    </w:p>
    <w:p w14:paraId="483D2B93" w14:textId="77777777" w:rsidR="004B60D7" w:rsidRPr="00E54204" w:rsidRDefault="002C6ACB" w:rsidP="004B60D7">
      <w:pPr>
        <w:spacing w:line="240" w:lineRule="auto"/>
        <w:rPr>
          <w:bCs/>
        </w:rPr>
      </w:pPr>
      <w:r w:rsidRPr="00E54204">
        <w:rPr>
          <w:bCs/>
        </w:rPr>
        <w:t xml:space="preserve">Fishbane, Michael. </w:t>
      </w:r>
      <w:r w:rsidRPr="00E54204">
        <w:rPr>
          <w:bCs/>
          <w:i/>
          <w:iCs/>
        </w:rPr>
        <w:t>Biblical Interpretation in Ancient Israel</w:t>
      </w:r>
      <w:r w:rsidRPr="00E54204">
        <w:rPr>
          <w:bCs/>
        </w:rPr>
        <w:t xml:space="preserve">. Oxford: Clarendon Press, </w:t>
      </w:r>
    </w:p>
    <w:p w14:paraId="6DBD8110" w14:textId="77777777" w:rsidR="002C6ACB" w:rsidRPr="00E54204" w:rsidRDefault="002C6ACB" w:rsidP="004B60D7">
      <w:pPr>
        <w:spacing w:line="240" w:lineRule="auto"/>
        <w:ind w:firstLine="720"/>
        <w:rPr>
          <w:bCs/>
        </w:rPr>
      </w:pPr>
      <w:r w:rsidRPr="00E54204">
        <w:rPr>
          <w:bCs/>
        </w:rPr>
        <w:t>1985.</w:t>
      </w:r>
    </w:p>
    <w:p w14:paraId="1A0D3AC6" w14:textId="77777777" w:rsidR="00293447" w:rsidRPr="00E54204" w:rsidRDefault="00293447" w:rsidP="002C6ACB">
      <w:pPr>
        <w:spacing w:line="240" w:lineRule="auto"/>
        <w:rPr>
          <w:bCs/>
        </w:rPr>
      </w:pPr>
    </w:p>
    <w:p w14:paraId="0894906E" w14:textId="77777777" w:rsidR="004B60D7" w:rsidRPr="00E54204" w:rsidRDefault="00293447" w:rsidP="004B60D7">
      <w:pPr>
        <w:spacing w:line="240" w:lineRule="auto"/>
        <w:rPr>
          <w:bCs/>
          <w:i/>
          <w:iCs/>
        </w:rPr>
      </w:pPr>
      <w:r w:rsidRPr="00E54204">
        <w:rPr>
          <w:bCs/>
        </w:rPr>
        <w:t>Flesher, Paul Virgil McCracken., and Bruce Chilton. </w:t>
      </w:r>
      <w:r w:rsidRPr="00E54204">
        <w:rPr>
          <w:bCs/>
          <w:i/>
          <w:iCs/>
        </w:rPr>
        <w:t xml:space="preserve">The Targums: A Critical </w:t>
      </w:r>
    </w:p>
    <w:p w14:paraId="46757EEA" w14:textId="77777777" w:rsidR="002C6ACB" w:rsidRPr="00E54204" w:rsidRDefault="00293447" w:rsidP="003A7211">
      <w:pPr>
        <w:spacing w:line="240" w:lineRule="auto"/>
        <w:ind w:firstLine="720"/>
        <w:rPr>
          <w:bCs/>
        </w:rPr>
      </w:pPr>
      <w:r w:rsidRPr="00E54204">
        <w:rPr>
          <w:bCs/>
          <w:i/>
          <w:iCs/>
        </w:rPr>
        <w:t>Introduction</w:t>
      </w:r>
      <w:r w:rsidR="004B60D7" w:rsidRPr="00E54204">
        <w:rPr>
          <w:bCs/>
        </w:rPr>
        <w:t xml:space="preserve">. </w:t>
      </w:r>
      <w:r w:rsidRPr="00E54204">
        <w:rPr>
          <w:bCs/>
        </w:rPr>
        <w:t>Waco, TX:</w:t>
      </w:r>
      <w:r w:rsidR="003A7211" w:rsidRPr="00E54204">
        <w:rPr>
          <w:bCs/>
        </w:rPr>
        <w:t xml:space="preserve"> Baylor University Press, 2011.</w:t>
      </w:r>
    </w:p>
    <w:p w14:paraId="24929E44" w14:textId="77777777" w:rsidR="002C6ACB" w:rsidRPr="00E54204" w:rsidRDefault="002C6ACB" w:rsidP="003A7211">
      <w:pPr>
        <w:spacing w:line="240" w:lineRule="auto"/>
        <w:rPr>
          <w:bCs/>
        </w:rPr>
      </w:pPr>
    </w:p>
    <w:p w14:paraId="27CE6694" w14:textId="77777777" w:rsidR="004B60D7" w:rsidRPr="00E54204" w:rsidRDefault="002C6ACB" w:rsidP="002C6ACB">
      <w:pPr>
        <w:spacing w:line="240" w:lineRule="auto"/>
        <w:rPr>
          <w:bCs/>
        </w:rPr>
      </w:pPr>
      <w:r w:rsidRPr="00E54204">
        <w:rPr>
          <w:bCs/>
        </w:rPr>
        <w:t>Gfr</w:t>
      </w:r>
      <w:r w:rsidRPr="00E54204">
        <w:rPr>
          <w:bCs/>
          <w:iCs/>
        </w:rPr>
        <w:t>ö</w:t>
      </w:r>
      <w:r w:rsidRPr="00E54204">
        <w:rPr>
          <w:bCs/>
        </w:rPr>
        <w:t xml:space="preserve">er, August Friedrich. </w:t>
      </w:r>
      <w:r w:rsidRPr="00E54204">
        <w:rPr>
          <w:bCs/>
          <w:i/>
        </w:rPr>
        <w:t>Das Jahrhundert des Heils</w:t>
      </w:r>
      <w:r w:rsidRPr="00E54204">
        <w:rPr>
          <w:bCs/>
        </w:rPr>
        <w:t xml:space="preserve">. Schweizerhart's Verlagshandlung, </w:t>
      </w:r>
    </w:p>
    <w:p w14:paraId="3442075F" w14:textId="77777777" w:rsidR="002C6ACB" w:rsidRPr="00E54204" w:rsidRDefault="002C6ACB" w:rsidP="004B60D7">
      <w:pPr>
        <w:spacing w:line="240" w:lineRule="auto"/>
        <w:ind w:firstLine="720"/>
        <w:rPr>
          <w:bCs/>
        </w:rPr>
      </w:pPr>
      <w:r w:rsidRPr="00E54204">
        <w:rPr>
          <w:bCs/>
        </w:rPr>
        <w:t>1883.</w:t>
      </w:r>
    </w:p>
    <w:p w14:paraId="6421858D" w14:textId="77777777" w:rsidR="002C6ACB" w:rsidRPr="00E54204" w:rsidRDefault="002C6ACB" w:rsidP="002C6ACB">
      <w:pPr>
        <w:spacing w:line="240" w:lineRule="auto"/>
        <w:rPr>
          <w:bCs/>
        </w:rPr>
      </w:pPr>
    </w:p>
    <w:p w14:paraId="750D5B58" w14:textId="77777777" w:rsidR="002C6ACB" w:rsidRPr="00E54204" w:rsidRDefault="002C6ACB" w:rsidP="002C6ACB">
      <w:pPr>
        <w:spacing w:line="240" w:lineRule="auto"/>
        <w:rPr>
          <w:bCs/>
        </w:rPr>
      </w:pPr>
      <w:r w:rsidRPr="00E54204">
        <w:rPr>
          <w:bCs/>
        </w:rPr>
        <w:t>Ginzberg, Louis. </w:t>
      </w:r>
      <w:r w:rsidRPr="00E54204">
        <w:rPr>
          <w:bCs/>
          <w:i/>
          <w:iCs/>
        </w:rPr>
        <w:t>Legends of the Jews</w:t>
      </w:r>
      <w:r w:rsidRPr="00E54204">
        <w:rPr>
          <w:bCs/>
        </w:rPr>
        <w:t>. Transl</w:t>
      </w:r>
      <w:r w:rsidR="00B110F2" w:rsidRPr="00E54204">
        <w:rPr>
          <w:bCs/>
        </w:rPr>
        <w:t xml:space="preserve">ated by Henrietta Szold. </w:t>
      </w:r>
      <w:r w:rsidRPr="00E54204">
        <w:rPr>
          <w:bCs/>
        </w:rPr>
        <w:t xml:space="preserve">Vol. 1. </w:t>
      </w:r>
    </w:p>
    <w:p w14:paraId="1C76391B" w14:textId="77777777" w:rsidR="002C6ACB" w:rsidRPr="00E54204" w:rsidRDefault="002C6ACB" w:rsidP="002C6ACB">
      <w:pPr>
        <w:spacing w:line="240" w:lineRule="auto"/>
        <w:ind w:firstLine="720"/>
        <w:rPr>
          <w:bCs/>
        </w:rPr>
      </w:pPr>
      <w:r w:rsidRPr="00E54204">
        <w:rPr>
          <w:bCs/>
        </w:rPr>
        <w:t>Philadelphia: Jewish Publication Society,</w:t>
      </w:r>
      <w:r w:rsidR="00B110F2" w:rsidRPr="00E54204">
        <w:rPr>
          <w:bCs/>
        </w:rPr>
        <w:t xml:space="preserve"> 1954</w:t>
      </w:r>
      <w:r w:rsidRPr="00E54204">
        <w:rPr>
          <w:bCs/>
        </w:rPr>
        <w:t>.</w:t>
      </w:r>
    </w:p>
    <w:p w14:paraId="7E797747" w14:textId="77777777" w:rsidR="003C0757" w:rsidRPr="00E54204" w:rsidRDefault="003C0757" w:rsidP="002C6ACB">
      <w:pPr>
        <w:spacing w:line="240" w:lineRule="auto"/>
        <w:ind w:firstLine="720"/>
        <w:rPr>
          <w:bCs/>
        </w:rPr>
      </w:pPr>
    </w:p>
    <w:p w14:paraId="14E1E105" w14:textId="77777777" w:rsidR="000A133E" w:rsidRPr="00E54204" w:rsidRDefault="00DF2093" w:rsidP="003C0757">
      <w:pPr>
        <w:spacing w:line="240" w:lineRule="auto"/>
        <w:rPr>
          <w:bCs/>
        </w:rPr>
      </w:pPr>
      <w:r w:rsidRPr="00E54204">
        <w:rPr>
          <w:bCs/>
        </w:rPr>
        <w:t>_______.</w:t>
      </w:r>
      <w:r w:rsidR="000A133E" w:rsidRPr="00E54204">
        <w:rPr>
          <w:bCs/>
        </w:rPr>
        <w:t xml:space="preserve"> 1922. “Some Observations on the Attitude of the Synagogue Towards the </w:t>
      </w:r>
    </w:p>
    <w:p w14:paraId="38824AF8" w14:textId="77777777" w:rsidR="003C0757" w:rsidRPr="00E54204" w:rsidRDefault="000A133E" w:rsidP="000A133E">
      <w:pPr>
        <w:spacing w:line="240" w:lineRule="auto"/>
        <w:ind w:left="720"/>
        <w:rPr>
          <w:bCs/>
        </w:rPr>
      </w:pPr>
      <w:r w:rsidRPr="00E54204">
        <w:rPr>
          <w:bCs/>
        </w:rPr>
        <w:t>Apocalyptic-eschatological Writings”. </w:t>
      </w:r>
      <w:r w:rsidRPr="00E54204">
        <w:rPr>
          <w:bCs/>
          <w:i/>
          <w:iCs/>
        </w:rPr>
        <w:t>Journal of Biblical Literature</w:t>
      </w:r>
      <w:r w:rsidRPr="00E54204">
        <w:rPr>
          <w:bCs/>
        </w:rPr>
        <w:t> 41 (1/2). Society of Biblical Literature: 115–36. doi:10.2307/3259243.</w:t>
      </w:r>
    </w:p>
    <w:p w14:paraId="7982D0E0" w14:textId="77777777" w:rsidR="002C6ACB" w:rsidRPr="00E54204" w:rsidRDefault="002C6ACB" w:rsidP="002C6ACB">
      <w:pPr>
        <w:spacing w:line="240" w:lineRule="auto"/>
        <w:ind w:firstLine="720"/>
        <w:rPr>
          <w:bCs/>
        </w:rPr>
      </w:pPr>
    </w:p>
    <w:p w14:paraId="2A9417D7" w14:textId="77777777" w:rsidR="004B60D7" w:rsidRPr="00E54204" w:rsidRDefault="002C6ACB" w:rsidP="004B60D7">
      <w:pPr>
        <w:spacing w:line="240" w:lineRule="auto"/>
        <w:rPr>
          <w:bCs/>
        </w:rPr>
      </w:pPr>
      <w:r w:rsidRPr="00E54204">
        <w:rPr>
          <w:rFonts w:hint="eastAsia"/>
          <w:bCs/>
        </w:rPr>
        <w:t>Glatzer</w:t>
      </w:r>
      <w:r w:rsidRPr="00E54204">
        <w:rPr>
          <w:bCs/>
        </w:rPr>
        <w:t xml:space="preserve">, </w:t>
      </w:r>
      <w:r w:rsidRPr="00E54204">
        <w:rPr>
          <w:rFonts w:hint="eastAsia"/>
          <w:bCs/>
        </w:rPr>
        <w:t>Nahum</w:t>
      </w:r>
      <w:r w:rsidRPr="00E54204">
        <w:rPr>
          <w:bCs/>
        </w:rPr>
        <w:t xml:space="preserve"> N</w:t>
      </w:r>
      <w:r w:rsidRPr="00E54204">
        <w:rPr>
          <w:rFonts w:hint="eastAsia"/>
          <w:bCs/>
        </w:rPr>
        <w:t>. </w:t>
      </w:r>
      <w:r w:rsidR="00B110F2" w:rsidRPr="00E54204">
        <w:rPr>
          <w:rFonts w:hint="eastAsia"/>
          <w:bCs/>
          <w:i/>
          <w:iCs/>
        </w:rPr>
        <w:t>Essays in Jewish T</w:t>
      </w:r>
      <w:r w:rsidRPr="00E54204">
        <w:rPr>
          <w:rFonts w:hint="eastAsia"/>
          <w:bCs/>
          <w:i/>
          <w:iCs/>
        </w:rPr>
        <w:t>hought</w:t>
      </w:r>
      <w:r w:rsidRPr="00E54204">
        <w:rPr>
          <w:rFonts w:hint="eastAsia"/>
          <w:bCs/>
        </w:rPr>
        <w:t xml:space="preserve">. University: University of Alabama Press, </w:t>
      </w:r>
    </w:p>
    <w:p w14:paraId="0E634D54" w14:textId="77777777" w:rsidR="002C6ACB" w:rsidRPr="00E54204" w:rsidRDefault="002C6ACB" w:rsidP="004B60D7">
      <w:pPr>
        <w:spacing w:line="240" w:lineRule="auto"/>
        <w:ind w:firstLine="720"/>
        <w:rPr>
          <w:bCs/>
        </w:rPr>
      </w:pPr>
      <w:r w:rsidRPr="00E54204">
        <w:rPr>
          <w:rFonts w:hint="eastAsia"/>
          <w:bCs/>
        </w:rPr>
        <w:t>1978.</w:t>
      </w:r>
    </w:p>
    <w:p w14:paraId="129A482A" w14:textId="77777777" w:rsidR="002C6ACB" w:rsidRPr="00E54204" w:rsidRDefault="002C6ACB" w:rsidP="002C6ACB">
      <w:pPr>
        <w:spacing w:line="240" w:lineRule="auto"/>
        <w:rPr>
          <w:bCs/>
        </w:rPr>
      </w:pPr>
    </w:p>
    <w:p w14:paraId="43CF3306" w14:textId="77777777" w:rsidR="004B60D7" w:rsidRPr="00E54204" w:rsidRDefault="002C6ACB" w:rsidP="004B60D7">
      <w:pPr>
        <w:spacing w:line="240" w:lineRule="auto"/>
        <w:rPr>
          <w:bCs/>
          <w:i/>
          <w:iCs/>
        </w:rPr>
      </w:pPr>
      <w:r w:rsidRPr="00E54204">
        <w:rPr>
          <w:bCs/>
        </w:rPr>
        <w:t>Goldwurm, Hersh. </w:t>
      </w:r>
      <w:r w:rsidRPr="00E54204">
        <w:rPr>
          <w:bCs/>
          <w:i/>
          <w:iCs/>
        </w:rPr>
        <w:t>Talmud Bavli = [Talmud Bavli] : The Schott</w:t>
      </w:r>
      <w:r w:rsidR="004B60D7" w:rsidRPr="00E54204">
        <w:rPr>
          <w:bCs/>
          <w:i/>
          <w:iCs/>
        </w:rPr>
        <w:t xml:space="preserve">enstein Edition : The </w:t>
      </w:r>
    </w:p>
    <w:p w14:paraId="7EE536C1" w14:textId="77777777" w:rsidR="002C6ACB" w:rsidRPr="00E54204" w:rsidRDefault="004B60D7" w:rsidP="00B110F2">
      <w:pPr>
        <w:spacing w:line="240" w:lineRule="auto"/>
        <w:ind w:left="720"/>
        <w:rPr>
          <w:bCs/>
          <w:i/>
          <w:iCs/>
        </w:rPr>
      </w:pPr>
      <w:r w:rsidRPr="00E54204">
        <w:rPr>
          <w:bCs/>
          <w:i/>
          <w:iCs/>
        </w:rPr>
        <w:t xml:space="preserve">Gemara : </w:t>
      </w:r>
      <w:r w:rsidR="002C6ACB" w:rsidRPr="00E54204">
        <w:rPr>
          <w:bCs/>
          <w:i/>
          <w:iCs/>
        </w:rPr>
        <w:t>The Classic Vilna Edition, with an Annotated, Interpretive Elucidation, as an Aid to Talmud Study</w:t>
      </w:r>
      <w:r w:rsidR="002C6ACB" w:rsidRPr="00E54204">
        <w:rPr>
          <w:bCs/>
        </w:rPr>
        <w:t>. Brooklyn, N.Y.: Mesorah Publications, 1990.</w:t>
      </w:r>
    </w:p>
    <w:p w14:paraId="3A72988D" w14:textId="77777777" w:rsidR="002C6ACB" w:rsidRPr="00E54204" w:rsidRDefault="002C6ACB" w:rsidP="002C6ACB">
      <w:pPr>
        <w:spacing w:line="240" w:lineRule="auto"/>
        <w:rPr>
          <w:bCs/>
        </w:rPr>
      </w:pPr>
    </w:p>
    <w:p w14:paraId="59533E99" w14:textId="77777777" w:rsidR="00DC289F" w:rsidRPr="00E54204" w:rsidRDefault="002C6ACB" w:rsidP="00DC289F">
      <w:pPr>
        <w:spacing w:line="240" w:lineRule="auto"/>
        <w:rPr>
          <w:bCs/>
          <w:i/>
          <w:iCs/>
        </w:rPr>
      </w:pPr>
      <w:r w:rsidRPr="00E54204">
        <w:rPr>
          <w:bCs/>
        </w:rPr>
        <w:t>Gottstein, Alon</w:t>
      </w:r>
      <w:r w:rsidR="00DC289F" w:rsidRPr="00E54204">
        <w:rPr>
          <w:bCs/>
        </w:rPr>
        <w:t xml:space="preserve"> Goshen</w:t>
      </w:r>
      <w:r w:rsidRPr="00E54204">
        <w:rPr>
          <w:bCs/>
        </w:rPr>
        <w:t>. </w:t>
      </w:r>
      <w:r w:rsidRPr="00E54204">
        <w:rPr>
          <w:bCs/>
          <w:i/>
          <w:iCs/>
        </w:rPr>
        <w:t>The Sinner and the Amnesiac: The R</w:t>
      </w:r>
      <w:r w:rsidR="00DC289F" w:rsidRPr="00E54204">
        <w:rPr>
          <w:bCs/>
          <w:i/>
          <w:iCs/>
        </w:rPr>
        <w:t xml:space="preserve">abbinic Invention of Elisha </w:t>
      </w:r>
    </w:p>
    <w:p w14:paraId="69956A91" w14:textId="77777777" w:rsidR="002C6ACB" w:rsidRPr="00E54204" w:rsidRDefault="00DC289F" w:rsidP="00DC289F">
      <w:pPr>
        <w:spacing w:line="240" w:lineRule="auto"/>
        <w:ind w:left="720"/>
        <w:rPr>
          <w:bCs/>
          <w:i/>
          <w:iCs/>
        </w:rPr>
      </w:pPr>
      <w:r w:rsidRPr="00E54204">
        <w:rPr>
          <w:bCs/>
          <w:i/>
          <w:iCs/>
        </w:rPr>
        <w:t xml:space="preserve">Ben </w:t>
      </w:r>
      <w:r w:rsidR="002C6ACB" w:rsidRPr="00E54204">
        <w:rPr>
          <w:bCs/>
          <w:i/>
          <w:iCs/>
        </w:rPr>
        <w:t>Abuya and Eleazar Ben Arach</w:t>
      </w:r>
      <w:r w:rsidR="002C6ACB" w:rsidRPr="00E54204">
        <w:rPr>
          <w:bCs/>
        </w:rPr>
        <w:t>. Stanford, CA: Stanford University Press, 2000.</w:t>
      </w:r>
    </w:p>
    <w:p w14:paraId="2426279A" w14:textId="77777777" w:rsidR="002C6ACB" w:rsidRPr="00E54204" w:rsidRDefault="002C6ACB" w:rsidP="002C6ACB">
      <w:pPr>
        <w:spacing w:line="240" w:lineRule="auto"/>
        <w:ind w:firstLine="720"/>
      </w:pPr>
    </w:p>
    <w:p w14:paraId="66C9FA23" w14:textId="77777777" w:rsidR="004B60D7" w:rsidRPr="00E54204" w:rsidRDefault="002C6ACB" w:rsidP="004B60D7">
      <w:pPr>
        <w:spacing w:line="240" w:lineRule="auto"/>
        <w:rPr>
          <w:bCs/>
          <w:i/>
          <w:iCs/>
        </w:rPr>
      </w:pPr>
      <w:r w:rsidRPr="00E54204">
        <w:rPr>
          <w:bCs/>
        </w:rPr>
        <w:t>Gray, Rebecca. </w:t>
      </w:r>
      <w:r w:rsidRPr="00E54204">
        <w:rPr>
          <w:bCs/>
          <w:i/>
          <w:iCs/>
        </w:rPr>
        <w:t>Prophetic Figures in Late Second Temple Jewish</w:t>
      </w:r>
      <w:r w:rsidR="004B60D7" w:rsidRPr="00E54204">
        <w:rPr>
          <w:bCs/>
          <w:i/>
          <w:iCs/>
        </w:rPr>
        <w:t xml:space="preserve"> Palestine:  The </w:t>
      </w:r>
    </w:p>
    <w:p w14:paraId="6D8DFD95" w14:textId="77777777" w:rsidR="002C6ACB" w:rsidRPr="00E54204" w:rsidRDefault="004B60D7" w:rsidP="004B60D7">
      <w:pPr>
        <w:spacing w:line="240" w:lineRule="auto"/>
        <w:ind w:firstLine="720"/>
        <w:rPr>
          <w:bCs/>
          <w:i/>
          <w:iCs/>
        </w:rPr>
      </w:pPr>
      <w:r w:rsidRPr="00E54204">
        <w:rPr>
          <w:bCs/>
          <w:i/>
          <w:iCs/>
        </w:rPr>
        <w:t xml:space="preserve">Evidence from </w:t>
      </w:r>
      <w:r w:rsidR="002C6ACB" w:rsidRPr="00E54204">
        <w:rPr>
          <w:bCs/>
          <w:i/>
          <w:iCs/>
        </w:rPr>
        <w:t>Josephus</w:t>
      </w:r>
      <w:r w:rsidR="002C6ACB" w:rsidRPr="00E54204">
        <w:rPr>
          <w:bCs/>
        </w:rPr>
        <w:t>. New York: Oxford University Press, 1993.</w:t>
      </w:r>
    </w:p>
    <w:p w14:paraId="7B463A68" w14:textId="77777777" w:rsidR="002C6ACB" w:rsidRPr="00E54204" w:rsidRDefault="002C6ACB" w:rsidP="002C6ACB">
      <w:pPr>
        <w:spacing w:line="240" w:lineRule="auto"/>
        <w:ind w:firstLine="720"/>
        <w:rPr>
          <w:bCs/>
        </w:rPr>
      </w:pPr>
    </w:p>
    <w:p w14:paraId="503B9C98" w14:textId="77777777" w:rsidR="00391C66" w:rsidRPr="00E54204" w:rsidRDefault="00391C66" w:rsidP="00391C66">
      <w:pPr>
        <w:spacing w:line="240" w:lineRule="auto"/>
        <w:rPr>
          <w:bCs/>
          <w:i/>
          <w:iCs/>
        </w:rPr>
      </w:pPr>
      <w:r w:rsidRPr="00E54204">
        <w:rPr>
          <w:bCs/>
        </w:rPr>
        <w:t>Greenspahn, Frederick E.. 1989. “Why Prophecy Ceased”. </w:t>
      </w:r>
      <w:r w:rsidRPr="00E54204">
        <w:rPr>
          <w:bCs/>
          <w:i/>
          <w:iCs/>
        </w:rPr>
        <w:t xml:space="preserve">Journal of Biblical </w:t>
      </w:r>
    </w:p>
    <w:p w14:paraId="19F353F4" w14:textId="77777777" w:rsidR="002C6ACB" w:rsidRPr="00E54204" w:rsidRDefault="00391C66" w:rsidP="00391C66">
      <w:pPr>
        <w:spacing w:line="240" w:lineRule="auto"/>
        <w:ind w:firstLine="720"/>
        <w:rPr>
          <w:bCs/>
        </w:rPr>
      </w:pPr>
      <w:r w:rsidRPr="00E54204">
        <w:rPr>
          <w:bCs/>
          <w:i/>
          <w:iCs/>
        </w:rPr>
        <w:t>Literature</w:t>
      </w:r>
      <w:r w:rsidRPr="00E54204">
        <w:rPr>
          <w:bCs/>
        </w:rPr>
        <w:t> 108 (1). Society of Biblical Literature: 37–49. doi:10.2307/3267469.</w:t>
      </w:r>
    </w:p>
    <w:p w14:paraId="26E87E3A" w14:textId="77777777" w:rsidR="00391C66" w:rsidRPr="00E54204" w:rsidRDefault="00391C66" w:rsidP="004B60D7">
      <w:pPr>
        <w:spacing w:line="240" w:lineRule="auto"/>
        <w:rPr>
          <w:bCs/>
        </w:rPr>
      </w:pPr>
    </w:p>
    <w:p w14:paraId="403F2E98" w14:textId="77777777" w:rsidR="004B60D7" w:rsidRPr="00E54204" w:rsidRDefault="002C6ACB" w:rsidP="004B60D7">
      <w:pPr>
        <w:spacing w:line="240" w:lineRule="auto"/>
        <w:rPr>
          <w:bCs/>
        </w:rPr>
      </w:pPr>
      <w:r w:rsidRPr="00E54204">
        <w:rPr>
          <w:bCs/>
        </w:rPr>
        <w:t>Grossfeld, Bernard. </w:t>
      </w:r>
      <w:r w:rsidRPr="00E54204">
        <w:rPr>
          <w:bCs/>
          <w:i/>
          <w:iCs/>
        </w:rPr>
        <w:t>The Aramaic Bible: The Two Targums of Esther</w:t>
      </w:r>
      <w:r w:rsidRPr="00E54204">
        <w:rPr>
          <w:bCs/>
        </w:rPr>
        <w:t xml:space="preserve">. Vol. 18. </w:t>
      </w:r>
    </w:p>
    <w:p w14:paraId="52EB478C" w14:textId="77777777" w:rsidR="002C6ACB" w:rsidRPr="00E54204" w:rsidRDefault="002C6ACB" w:rsidP="004B60D7">
      <w:pPr>
        <w:spacing w:line="240" w:lineRule="auto"/>
        <w:ind w:firstLine="720"/>
        <w:rPr>
          <w:bCs/>
        </w:rPr>
      </w:pPr>
      <w:r w:rsidRPr="00E54204">
        <w:rPr>
          <w:bCs/>
        </w:rPr>
        <w:t>Collegeville: Liturgical Press, 1991.</w:t>
      </w:r>
    </w:p>
    <w:p w14:paraId="2724A6E5" w14:textId="77777777" w:rsidR="002C6ACB" w:rsidRPr="00E54204" w:rsidRDefault="002C6ACB" w:rsidP="002C6ACB">
      <w:pPr>
        <w:spacing w:line="240" w:lineRule="auto"/>
        <w:ind w:firstLine="720"/>
        <w:rPr>
          <w:bCs/>
        </w:rPr>
      </w:pPr>
    </w:p>
    <w:p w14:paraId="44235B49" w14:textId="77777777" w:rsidR="002C6ACB" w:rsidRPr="00E54204" w:rsidRDefault="002C6ACB" w:rsidP="002C6ACB">
      <w:pPr>
        <w:spacing w:line="240" w:lineRule="auto"/>
        <w:rPr>
          <w:bCs/>
          <w:i/>
        </w:rPr>
      </w:pPr>
      <w:r w:rsidRPr="00E54204">
        <w:rPr>
          <w:bCs/>
        </w:rPr>
        <w:t xml:space="preserve">Guttmann, Alexander. </w:t>
      </w:r>
      <w:r w:rsidRPr="00E54204">
        <w:rPr>
          <w:bCs/>
          <w:i/>
        </w:rPr>
        <w:t xml:space="preserve">Rabbinic Judaism in the Making: A Chapter in the History of the </w:t>
      </w:r>
    </w:p>
    <w:p w14:paraId="1B71CCEC" w14:textId="77777777" w:rsidR="002C6ACB" w:rsidRPr="00E54204" w:rsidRDefault="002C6ACB" w:rsidP="002C6ACB">
      <w:pPr>
        <w:spacing w:line="240" w:lineRule="auto"/>
        <w:ind w:firstLine="720"/>
        <w:rPr>
          <w:bCs/>
        </w:rPr>
      </w:pPr>
      <w:r w:rsidRPr="00E54204">
        <w:rPr>
          <w:bCs/>
          <w:i/>
        </w:rPr>
        <w:t>Halakhah from Ezra to Judah I</w:t>
      </w:r>
      <w:r w:rsidRPr="00E54204">
        <w:rPr>
          <w:bCs/>
        </w:rPr>
        <w:t>. Detroit: Wayne State University Press, 1970.</w:t>
      </w:r>
    </w:p>
    <w:p w14:paraId="77CF458F" w14:textId="77777777" w:rsidR="002C6ACB" w:rsidRPr="00E54204" w:rsidRDefault="002C6ACB" w:rsidP="002C6ACB">
      <w:pPr>
        <w:spacing w:line="240" w:lineRule="auto"/>
        <w:ind w:firstLine="720"/>
        <w:rPr>
          <w:bCs/>
        </w:rPr>
      </w:pPr>
    </w:p>
    <w:p w14:paraId="65AC7842" w14:textId="77777777" w:rsidR="002C6ACB" w:rsidRPr="00E54204" w:rsidRDefault="002C6ACB" w:rsidP="002C6ACB">
      <w:pPr>
        <w:spacing w:line="240" w:lineRule="auto"/>
        <w:rPr>
          <w:bCs/>
          <w:i/>
          <w:iCs/>
        </w:rPr>
      </w:pPr>
      <w:r w:rsidRPr="00E54204">
        <w:rPr>
          <w:bCs/>
        </w:rPr>
        <w:t xml:space="preserve">_______. 1947. “The Significance of Miracles for Talmudic Judaism.” </w:t>
      </w:r>
      <w:r w:rsidRPr="00E54204">
        <w:rPr>
          <w:bCs/>
          <w:i/>
          <w:iCs/>
        </w:rPr>
        <w:t xml:space="preserve">Hebrew </w:t>
      </w:r>
    </w:p>
    <w:p w14:paraId="248E58D1" w14:textId="77777777" w:rsidR="002C6ACB" w:rsidRPr="00E54204" w:rsidRDefault="002C6ACB" w:rsidP="002C6ACB">
      <w:pPr>
        <w:spacing w:line="240" w:lineRule="auto"/>
        <w:ind w:left="720"/>
        <w:rPr>
          <w:bCs/>
        </w:rPr>
      </w:pPr>
      <w:r w:rsidRPr="00E54204">
        <w:rPr>
          <w:bCs/>
          <w:i/>
          <w:iCs/>
        </w:rPr>
        <w:t>Union College Annual</w:t>
      </w:r>
      <w:r w:rsidRPr="00E54204">
        <w:rPr>
          <w:bCs/>
        </w:rPr>
        <w:t> 20. Hebrew Union College - Jewish Institute of Religion: 363–406. http://www.jstor.org/stable/23506468.</w:t>
      </w:r>
    </w:p>
    <w:p w14:paraId="03F1FF6E" w14:textId="77777777" w:rsidR="002C6ACB" w:rsidRPr="00E54204" w:rsidRDefault="002C6ACB" w:rsidP="00970C57">
      <w:pPr>
        <w:spacing w:line="240" w:lineRule="auto"/>
        <w:rPr>
          <w:bCs/>
        </w:rPr>
      </w:pPr>
    </w:p>
    <w:p w14:paraId="75E0C698" w14:textId="77777777" w:rsidR="004B60D7" w:rsidRPr="00E54204" w:rsidRDefault="002C6ACB" w:rsidP="004B60D7">
      <w:pPr>
        <w:spacing w:line="240" w:lineRule="auto"/>
        <w:rPr>
          <w:bCs/>
          <w:i/>
          <w:iCs/>
        </w:rPr>
      </w:pPr>
      <w:r w:rsidRPr="00E54204">
        <w:rPr>
          <w:bCs/>
        </w:rPr>
        <w:t>Harlow, Daniel C. </w:t>
      </w:r>
      <w:r w:rsidRPr="00E54204">
        <w:rPr>
          <w:bCs/>
          <w:i/>
          <w:iCs/>
        </w:rPr>
        <w:t xml:space="preserve">The Greek Apocalypse of Baruch (3 Baruch) in Hellenistic Judaism </w:t>
      </w:r>
    </w:p>
    <w:p w14:paraId="4B2FB8CB" w14:textId="77777777" w:rsidR="002C6ACB" w:rsidRPr="00E54204" w:rsidRDefault="002C6ACB" w:rsidP="004B60D7">
      <w:pPr>
        <w:spacing w:line="240" w:lineRule="auto"/>
        <w:ind w:firstLine="720"/>
        <w:rPr>
          <w:bCs/>
          <w:i/>
          <w:iCs/>
        </w:rPr>
      </w:pPr>
      <w:r w:rsidRPr="00E54204">
        <w:rPr>
          <w:bCs/>
          <w:i/>
          <w:iCs/>
        </w:rPr>
        <w:t>and Early Christianity</w:t>
      </w:r>
      <w:r w:rsidRPr="00E54204">
        <w:rPr>
          <w:bCs/>
        </w:rPr>
        <w:t>. New York: E.J. Brill, 1996.</w:t>
      </w:r>
    </w:p>
    <w:p w14:paraId="00D11C17" w14:textId="77777777" w:rsidR="002C6ACB" w:rsidRPr="00E54204" w:rsidRDefault="002C6ACB" w:rsidP="002C6ACB">
      <w:pPr>
        <w:spacing w:line="240" w:lineRule="auto"/>
        <w:ind w:firstLine="720"/>
        <w:rPr>
          <w:bCs/>
        </w:rPr>
      </w:pPr>
    </w:p>
    <w:p w14:paraId="712F57BF" w14:textId="77777777" w:rsidR="004B60D7" w:rsidRPr="00E54204" w:rsidRDefault="002C6ACB" w:rsidP="004B60D7">
      <w:pPr>
        <w:spacing w:line="240" w:lineRule="auto"/>
        <w:rPr>
          <w:bCs/>
        </w:rPr>
      </w:pPr>
      <w:r w:rsidRPr="00E54204">
        <w:rPr>
          <w:bCs/>
        </w:rPr>
        <w:t>Hartman, Geoffrey H., and Sanford Budick, eds. </w:t>
      </w:r>
      <w:r w:rsidRPr="00E54204">
        <w:rPr>
          <w:bCs/>
          <w:i/>
          <w:iCs/>
        </w:rPr>
        <w:t>Midrash and Literature</w:t>
      </w:r>
      <w:r w:rsidRPr="00E54204">
        <w:rPr>
          <w:bCs/>
        </w:rPr>
        <w:t xml:space="preserve">. New Haven, </w:t>
      </w:r>
    </w:p>
    <w:p w14:paraId="40463FD6" w14:textId="77777777" w:rsidR="002C6ACB" w:rsidRPr="00E54204" w:rsidRDefault="002C6ACB" w:rsidP="004B60D7">
      <w:pPr>
        <w:spacing w:line="240" w:lineRule="auto"/>
        <w:ind w:firstLine="720"/>
        <w:rPr>
          <w:bCs/>
        </w:rPr>
      </w:pPr>
      <w:r w:rsidRPr="00E54204">
        <w:rPr>
          <w:bCs/>
        </w:rPr>
        <w:t>CT: Yale University Press, 1986.</w:t>
      </w:r>
    </w:p>
    <w:p w14:paraId="620BC716" w14:textId="77777777" w:rsidR="002C6ACB" w:rsidRPr="00E54204" w:rsidRDefault="002C6ACB" w:rsidP="002C6ACB">
      <w:pPr>
        <w:spacing w:line="240" w:lineRule="auto"/>
        <w:ind w:firstLine="720"/>
        <w:rPr>
          <w:bCs/>
        </w:rPr>
      </w:pPr>
    </w:p>
    <w:p w14:paraId="78E188BB" w14:textId="77777777" w:rsidR="002C6ACB" w:rsidRPr="00E54204" w:rsidRDefault="002C6ACB" w:rsidP="002C6ACB">
      <w:pPr>
        <w:spacing w:line="240" w:lineRule="auto"/>
        <w:rPr>
          <w:rFonts w:cs="Times New Roman"/>
          <w:bCs/>
          <w:szCs w:val="21"/>
        </w:rPr>
      </w:pPr>
      <w:r w:rsidRPr="00E54204">
        <w:rPr>
          <w:rFonts w:cs="Times New Roman"/>
          <w:bCs/>
          <w:szCs w:val="21"/>
        </w:rPr>
        <w:t>Herford, R. Travers. </w:t>
      </w:r>
      <w:r w:rsidRPr="00E54204">
        <w:rPr>
          <w:rFonts w:cs="Times New Roman"/>
          <w:bCs/>
          <w:i/>
          <w:iCs/>
          <w:szCs w:val="21"/>
        </w:rPr>
        <w:t>Christianity in Talmud and Midrash,</w:t>
      </w:r>
      <w:r w:rsidRPr="00E54204">
        <w:rPr>
          <w:rFonts w:cs="Times New Roman"/>
          <w:bCs/>
          <w:szCs w:val="21"/>
        </w:rPr>
        <w:t xml:space="preserve">. Clifton, N.J.: Reference Book </w:t>
      </w:r>
    </w:p>
    <w:p w14:paraId="7F4763CB" w14:textId="77777777" w:rsidR="002C6ACB" w:rsidRPr="00E54204" w:rsidRDefault="002C6ACB" w:rsidP="002C6ACB">
      <w:pPr>
        <w:spacing w:line="240" w:lineRule="auto"/>
        <w:ind w:firstLine="720"/>
        <w:rPr>
          <w:rFonts w:cs="Times New Roman"/>
          <w:bCs/>
          <w:szCs w:val="21"/>
        </w:rPr>
      </w:pPr>
      <w:r w:rsidRPr="00E54204">
        <w:rPr>
          <w:rFonts w:cs="Times New Roman"/>
          <w:bCs/>
          <w:szCs w:val="21"/>
        </w:rPr>
        <w:t>Publishers, 1966.</w:t>
      </w:r>
    </w:p>
    <w:p w14:paraId="70CC584E" w14:textId="77777777" w:rsidR="002C6ACB" w:rsidRPr="00E54204" w:rsidRDefault="002C6ACB" w:rsidP="002C6ACB">
      <w:pPr>
        <w:spacing w:line="240" w:lineRule="auto"/>
        <w:ind w:firstLine="720"/>
        <w:rPr>
          <w:rFonts w:cs="Times New Roman"/>
          <w:bCs/>
          <w:szCs w:val="21"/>
        </w:rPr>
      </w:pPr>
    </w:p>
    <w:p w14:paraId="6A64A863" w14:textId="77777777" w:rsidR="008E1AC3" w:rsidRPr="00E54204" w:rsidRDefault="008E1AC3" w:rsidP="004B60D7">
      <w:pPr>
        <w:spacing w:line="240" w:lineRule="auto"/>
        <w:rPr>
          <w:rFonts w:cs="Times New Roman"/>
          <w:szCs w:val="21"/>
        </w:rPr>
      </w:pPr>
    </w:p>
    <w:p w14:paraId="329CC824" w14:textId="77777777" w:rsidR="008E1AC3" w:rsidRPr="00E54204" w:rsidRDefault="008E1AC3" w:rsidP="004B60D7">
      <w:pPr>
        <w:spacing w:line="240" w:lineRule="auto"/>
        <w:rPr>
          <w:rFonts w:cs="Times New Roman"/>
          <w:szCs w:val="21"/>
        </w:rPr>
      </w:pPr>
    </w:p>
    <w:p w14:paraId="43B6CF51" w14:textId="77777777" w:rsidR="004B60D7" w:rsidRPr="00E54204" w:rsidRDefault="002C6ACB" w:rsidP="004B60D7">
      <w:pPr>
        <w:spacing w:line="240" w:lineRule="auto"/>
        <w:rPr>
          <w:rFonts w:cs="Times New Roman"/>
          <w:i/>
          <w:iCs/>
          <w:szCs w:val="21"/>
        </w:rPr>
      </w:pPr>
      <w:r w:rsidRPr="00E54204">
        <w:rPr>
          <w:rFonts w:cs="Times New Roman" w:hint="eastAsia"/>
          <w:szCs w:val="21"/>
        </w:rPr>
        <w:t>Herlitz, Georg, and Bruno Kirschner. </w:t>
      </w:r>
      <w:r w:rsidRPr="00E54204">
        <w:rPr>
          <w:rFonts w:cs="Times New Roman" w:hint="eastAsia"/>
          <w:i/>
          <w:iCs/>
          <w:szCs w:val="21"/>
        </w:rPr>
        <w:t>Jüdisches lexikon; ein</w:t>
      </w:r>
      <w:r w:rsidR="004B60D7" w:rsidRPr="00E54204">
        <w:rPr>
          <w:rFonts w:cs="Times New Roman" w:hint="eastAsia"/>
          <w:i/>
          <w:iCs/>
          <w:szCs w:val="21"/>
        </w:rPr>
        <w:t xml:space="preserve"> enzyklopädisches Handbuch </w:t>
      </w:r>
    </w:p>
    <w:p w14:paraId="573C1FC8" w14:textId="77777777" w:rsidR="002C6ACB" w:rsidRPr="00E54204" w:rsidRDefault="004B60D7" w:rsidP="004B60D7">
      <w:pPr>
        <w:spacing w:line="240" w:lineRule="auto"/>
        <w:ind w:left="720"/>
        <w:rPr>
          <w:rFonts w:cs="Times New Roman"/>
          <w:i/>
          <w:iCs/>
          <w:szCs w:val="21"/>
        </w:rPr>
      </w:pPr>
      <w:r w:rsidRPr="00E54204">
        <w:rPr>
          <w:rFonts w:cs="Times New Roman" w:hint="eastAsia"/>
          <w:i/>
          <w:iCs/>
          <w:szCs w:val="21"/>
        </w:rPr>
        <w:t xml:space="preserve">des </w:t>
      </w:r>
      <w:r w:rsidR="002C6ACB" w:rsidRPr="00E54204">
        <w:rPr>
          <w:rFonts w:cs="Times New Roman" w:hint="eastAsia"/>
          <w:i/>
          <w:iCs/>
          <w:szCs w:val="21"/>
        </w:rPr>
        <w:t xml:space="preserve">jüdischen Wissens in vier bänden mit über 2000 Illustrationen, Beilagen, Karten und </w:t>
      </w:r>
      <w:r w:rsidRPr="00E54204">
        <w:rPr>
          <w:rFonts w:cs="Times New Roman"/>
          <w:i/>
          <w:iCs/>
          <w:szCs w:val="21"/>
        </w:rPr>
        <w:t xml:space="preserve"> </w:t>
      </w:r>
      <w:r w:rsidR="002C6ACB" w:rsidRPr="00E54204">
        <w:rPr>
          <w:rFonts w:cs="Times New Roman" w:hint="eastAsia"/>
          <w:i/>
          <w:iCs/>
          <w:szCs w:val="21"/>
        </w:rPr>
        <w:t>Tabellen</w:t>
      </w:r>
      <w:r w:rsidR="002C6ACB" w:rsidRPr="00E54204">
        <w:rPr>
          <w:rFonts w:cs="Times New Roman" w:hint="eastAsia"/>
          <w:szCs w:val="21"/>
        </w:rPr>
        <w:t>. Berlin: Jüdischer Verlag, 1927.</w:t>
      </w:r>
    </w:p>
    <w:p w14:paraId="389C0ED4" w14:textId="77777777" w:rsidR="002C6ACB" w:rsidRPr="00E54204" w:rsidRDefault="002C6ACB" w:rsidP="002C6ACB">
      <w:pPr>
        <w:spacing w:line="240" w:lineRule="auto"/>
        <w:ind w:left="720"/>
        <w:rPr>
          <w:rFonts w:cs="Times New Roman"/>
          <w:szCs w:val="21"/>
        </w:rPr>
      </w:pPr>
    </w:p>
    <w:p w14:paraId="55F1A651" w14:textId="77777777" w:rsidR="004B60D7" w:rsidRPr="00E54204" w:rsidRDefault="002C6ACB" w:rsidP="004B60D7">
      <w:pPr>
        <w:spacing w:line="240" w:lineRule="auto"/>
        <w:rPr>
          <w:bCs/>
          <w:i/>
          <w:iCs/>
        </w:rPr>
      </w:pPr>
      <w:r w:rsidRPr="00E54204">
        <w:rPr>
          <w:bCs/>
        </w:rPr>
        <w:t>Heschel, Abraham Joshua. </w:t>
      </w:r>
      <w:r w:rsidRPr="00E54204">
        <w:rPr>
          <w:bCs/>
          <w:i/>
          <w:iCs/>
        </w:rPr>
        <w:t xml:space="preserve">Prophetic Inspiration after the </w:t>
      </w:r>
      <w:r w:rsidR="004B60D7" w:rsidRPr="00E54204">
        <w:rPr>
          <w:bCs/>
          <w:i/>
          <w:iCs/>
        </w:rPr>
        <w:t xml:space="preserve">Prophets: Maimonides and </w:t>
      </w:r>
    </w:p>
    <w:p w14:paraId="32866052" w14:textId="77777777" w:rsidR="004B60D7" w:rsidRPr="00E54204" w:rsidRDefault="004B60D7" w:rsidP="004B60D7">
      <w:pPr>
        <w:spacing w:line="240" w:lineRule="auto"/>
        <w:ind w:firstLine="720"/>
        <w:rPr>
          <w:bCs/>
        </w:rPr>
      </w:pPr>
      <w:r w:rsidRPr="00E54204">
        <w:rPr>
          <w:bCs/>
          <w:i/>
          <w:iCs/>
        </w:rPr>
        <w:t xml:space="preserve">Other </w:t>
      </w:r>
      <w:r w:rsidR="002C6ACB" w:rsidRPr="00E54204">
        <w:rPr>
          <w:bCs/>
          <w:i/>
          <w:iCs/>
        </w:rPr>
        <w:t>Medieval Authorities</w:t>
      </w:r>
      <w:r w:rsidR="002C6ACB" w:rsidRPr="00E54204">
        <w:rPr>
          <w:bCs/>
        </w:rPr>
        <w:t>. Edited by Morris M. Fa</w:t>
      </w:r>
      <w:r w:rsidR="009426A9" w:rsidRPr="00E54204">
        <w:rPr>
          <w:bCs/>
        </w:rPr>
        <w:t xml:space="preserve">ierstein. Hoboken, NJ: Ktav, </w:t>
      </w:r>
    </w:p>
    <w:p w14:paraId="6829FD08" w14:textId="77777777" w:rsidR="002C6ACB" w:rsidRPr="00E54204" w:rsidRDefault="009426A9" w:rsidP="004B60D7">
      <w:pPr>
        <w:spacing w:line="240" w:lineRule="auto"/>
        <w:ind w:firstLine="720"/>
        <w:rPr>
          <w:bCs/>
          <w:i/>
          <w:iCs/>
        </w:rPr>
      </w:pPr>
      <w:r w:rsidRPr="00E54204">
        <w:rPr>
          <w:bCs/>
        </w:rPr>
        <w:t>196</w:t>
      </w:r>
      <w:r w:rsidR="002C6ACB" w:rsidRPr="00E54204">
        <w:rPr>
          <w:bCs/>
        </w:rPr>
        <w:t>6.</w:t>
      </w:r>
    </w:p>
    <w:p w14:paraId="2DDD148B" w14:textId="77777777" w:rsidR="002C6ACB" w:rsidRPr="00E54204" w:rsidRDefault="002C6ACB" w:rsidP="002C6ACB">
      <w:pPr>
        <w:spacing w:line="240" w:lineRule="auto"/>
        <w:ind w:firstLine="720"/>
        <w:rPr>
          <w:bCs/>
        </w:rPr>
      </w:pPr>
    </w:p>
    <w:p w14:paraId="1569DCE9" w14:textId="77777777" w:rsidR="004B60D7" w:rsidRPr="00E54204" w:rsidRDefault="002C6ACB" w:rsidP="004B60D7">
      <w:pPr>
        <w:spacing w:line="240" w:lineRule="auto"/>
        <w:rPr>
          <w:bCs/>
          <w:i/>
          <w:iCs/>
        </w:rPr>
      </w:pPr>
      <w:r w:rsidRPr="00E54204">
        <w:rPr>
          <w:bCs/>
        </w:rPr>
        <w:t>Holladay, William L. </w:t>
      </w:r>
      <w:r w:rsidRPr="00E54204">
        <w:rPr>
          <w:bCs/>
          <w:i/>
          <w:iCs/>
        </w:rPr>
        <w:t>A Concise Hebrew and Aramaic Lexi</w:t>
      </w:r>
      <w:r w:rsidR="004B60D7" w:rsidRPr="00E54204">
        <w:rPr>
          <w:bCs/>
          <w:i/>
          <w:iCs/>
        </w:rPr>
        <w:t xml:space="preserve">con of the Old Testament: </w:t>
      </w:r>
    </w:p>
    <w:p w14:paraId="194C83E7" w14:textId="77777777" w:rsidR="002C6ACB" w:rsidRPr="00E54204" w:rsidRDefault="004B60D7" w:rsidP="004B60D7">
      <w:pPr>
        <w:spacing w:line="240" w:lineRule="auto"/>
        <w:ind w:left="720"/>
        <w:rPr>
          <w:bCs/>
          <w:i/>
          <w:iCs/>
        </w:rPr>
      </w:pPr>
      <w:r w:rsidRPr="00E54204">
        <w:rPr>
          <w:bCs/>
          <w:i/>
          <w:iCs/>
        </w:rPr>
        <w:t xml:space="preserve">Based </w:t>
      </w:r>
      <w:r w:rsidR="002C6ACB" w:rsidRPr="00E54204">
        <w:rPr>
          <w:bCs/>
          <w:i/>
          <w:iCs/>
        </w:rPr>
        <w:t>upon the Lexical Work of Ludwig Koehler and Walter Baumgartner.</w:t>
      </w:r>
      <w:r w:rsidR="002C6ACB" w:rsidRPr="00E54204">
        <w:rPr>
          <w:bCs/>
        </w:rPr>
        <w:t> Leiden: Brill, 1971.</w:t>
      </w:r>
    </w:p>
    <w:p w14:paraId="276D03AB" w14:textId="77777777" w:rsidR="002C6ACB" w:rsidRPr="00E54204" w:rsidRDefault="002C6ACB" w:rsidP="002C6ACB">
      <w:pPr>
        <w:spacing w:line="240" w:lineRule="auto"/>
        <w:ind w:firstLine="720"/>
      </w:pPr>
    </w:p>
    <w:p w14:paraId="1C328D4B" w14:textId="77777777" w:rsidR="007501B1" w:rsidRPr="00E54204" w:rsidRDefault="007501B1" w:rsidP="007501B1">
      <w:pPr>
        <w:spacing w:line="240" w:lineRule="auto"/>
        <w:rPr>
          <w:bCs/>
        </w:rPr>
      </w:pPr>
      <w:r w:rsidRPr="00E54204">
        <w:rPr>
          <w:bCs/>
        </w:rPr>
        <w:t>Holtz, Barry W., ed. </w:t>
      </w:r>
      <w:r w:rsidRPr="00E54204">
        <w:rPr>
          <w:bCs/>
          <w:i/>
          <w:iCs/>
        </w:rPr>
        <w:t>Back to the Sources: Reading the Classic Jewish Texts</w:t>
      </w:r>
      <w:r w:rsidRPr="00E54204">
        <w:rPr>
          <w:bCs/>
        </w:rPr>
        <w:t xml:space="preserve">. New </w:t>
      </w:r>
    </w:p>
    <w:p w14:paraId="5A632560" w14:textId="77777777" w:rsidR="002C6ACB" w:rsidRPr="00E54204" w:rsidRDefault="007501B1" w:rsidP="007501B1">
      <w:pPr>
        <w:spacing w:line="240" w:lineRule="auto"/>
        <w:ind w:firstLine="720"/>
        <w:rPr>
          <w:b/>
          <w:bCs/>
        </w:rPr>
      </w:pPr>
      <w:r w:rsidRPr="00E54204">
        <w:rPr>
          <w:bCs/>
        </w:rPr>
        <w:t>York: Summit Books, 1984.</w:t>
      </w:r>
    </w:p>
    <w:p w14:paraId="289DB762" w14:textId="77777777" w:rsidR="007501B1" w:rsidRPr="00E54204" w:rsidRDefault="007501B1" w:rsidP="007501B1">
      <w:pPr>
        <w:spacing w:line="240" w:lineRule="auto"/>
        <w:ind w:firstLine="720"/>
        <w:rPr>
          <w:bCs/>
        </w:rPr>
      </w:pPr>
    </w:p>
    <w:p w14:paraId="4590E678" w14:textId="77777777" w:rsidR="002C6ACB" w:rsidRPr="00E54204" w:rsidRDefault="002C6ACB" w:rsidP="002C6ACB">
      <w:pPr>
        <w:spacing w:line="240" w:lineRule="auto"/>
        <w:rPr>
          <w:bCs/>
        </w:rPr>
      </w:pPr>
      <w:r w:rsidRPr="00E54204">
        <w:rPr>
          <w:bCs/>
        </w:rPr>
        <w:t xml:space="preserve">Howland, Jacob. </w:t>
      </w:r>
      <w:r w:rsidRPr="00E54204">
        <w:rPr>
          <w:bCs/>
          <w:i/>
        </w:rPr>
        <w:t xml:space="preserve">Plato and the Talmud. </w:t>
      </w:r>
      <w:r w:rsidRPr="00E54204">
        <w:rPr>
          <w:bCs/>
        </w:rPr>
        <w:t>Cambridge: Cambridge University Press, 2011.</w:t>
      </w:r>
    </w:p>
    <w:p w14:paraId="62E66873" w14:textId="77777777" w:rsidR="002C6ACB" w:rsidRPr="00E54204" w:rsidRDefault="002C6ACB" w:rsidP="002C6ACB">
      <w:pPr>
        <w:spacing w:line="240" w:lineRule="auto"/>
        <w:rPr>
          <w:bCs/>
        </w:rPr>
      </w:pPr>
    </w:p>
    <w:p w14:paraId="3C420255" w14:textId="77777777" w:rsidR="004B60D7" w:rsidRPr="00E54204" w:rsidRDefault="002C6ACB" w:rsidP="004B60D7">
      <w:pPr>
        <w:spacing w:line="240" w:lineRule="auto"/>
        <w:rPr>
          <w:i/>
          <w:iCs/>
        </w:rPr>
      </w:pPr>
      <w:r w:rsidRPr="00E54204">
        <w:rPr>
          <w:rFonts w:hint="eastAsia"/>
        </w:rPr>
        <w:t>Hubbard, B. A. F., E. S. Karnofsky, and Plato. </w:t>
      </w:r>
      <w:r w:rsidRPr="00E54204">
        <w:rPr>
          <w:rFonts w:hint="eastAsia"/>
          <w:i/>
          <w:iCs/>
        </w:rPr>
        <w:t xml:space="preserve">Plato's Protagoras: A Socratic </w:t>
      </w:r>
    </w:p>
    <w:p w14:paraId="4B6048B3" w14:textId="77777777" w:rsidR="002C6ACB" w:rsidRPr="00E54204" w:rsidRDefault="002C6ACB" w:rsidP="004B60D7">
      <w:pPr>
        <w:spacing w:line="240" w:lineRule="auto"/>
        <w:ind w:firstLine="720"/>
      </w:pPr>
      <w:r w:rsidRPr="00E54204">
        <w:rPr>
          <w:rFonts w:hint="eastAsia"/>
          <w:i/>
          <w:iCs/>
        </w:rPr>
        <w:t>Commentary</w:t>
      </w:r>
      <w:r w:rsidR="004B60D7" w:rsidRPr="00E54204">
        <w:rPr>
          <w:rFonts w:hint="eastAsia"/>
        </w:rPr>
        <w:t xml:space="preserve">. </w:t>
      </w:r>
      <w:r w:rsidRPr="00E54204">
        <w:rPr>
          <w:rFonts w:hint="eastAsia"/>
        </w:rPr>
        <w:t>Chicago: University of Chicago Press, 1984.</w:t>
      </w:r>
    </w:p>
    <w:p w14:paraId="47D1E25A" w14:textId="77777777" w:rsidR="002C6ACB" w:rsidRPr="00E54204" w:rsidRDefault="002C6ACB" w:rsidP="002C6ACB">
      <w:pPr>
        <w:spacing w:line="240" w:lineRule="auto"/>
        <w:ind w:firstLine="720"/>
      </w:pPr>
    </w:p>
    <w:p w14:paraId="59E5830A" w14:textId="77777777" w:rsidR="002C6ACB" w:rsidRPr="00E54204" w:rsidRDefault="002C6ACB" w:rsidP="002C6ACB">
      <w:pPr>
        <w:spacing w:line="240" w:lineRule="auto"/>
      </w:pPr>
      <w:r w:rsidRPr="00E54204">
        <w:t xml:space="preserve">Israel, Azzan Y. </w:t>
      </w:r>
      <w:r w:rsidRPr="00E54204">
        <w:rPr>
          <w:i/>
        </w:rPr>
        <w:t>Scripture and Tradition: Rabbi Akiva and the Triumph of Midrash</w:t>
      </w:r>
      <w:r w:rsidRPr="00E54204">
        <w:t xml:space="preserve">. </w:t>
      </w:r>
    </w:p>
    <w:p w14:paraId="54E1097F" w14:textId="77777777" w:rsidR="002C6ACB" w:rsidRPr="00E54204" w:rsidRDefault="002C6ACB" w:rsidP="002C6ACB">
      <w:pPr>
        <w:spacing w:line="240" w:lineRule="auto"/>
        <w:ind w:firstLine="720"/>
      </w:pPr>
      <w:r w:rsidRPr="00E54204">
        <w:t>Philadelphia: University of Pennsylvania Press, 2015.</w:t>
      </w:r>
    </w:p>
    <w:p w14:paraId="5836386F" w14:textId="77777777" w:rsidR="002C6ACB" w:rsidRPr="00E54204" w:rsidRDefault="002C6ACB" w:rsidP="002C6ACB">
      <w:pPr>
        <w:spacing w:line="240" w:lineRule="auto"/>
        <w:ind w:firstLine="720"/>
      </w:pPr>
    </w:p>
    <w:p w14:paraId="331FD85C" w14:textId="77777777" w:rsidR="002C6ACB" w:rsidRPr="00E54204" w:rsidRDefault="002C6ACB" w:rsidP="002C6ACB">
      <w:pPr>
        <w:spacing w:line="240" w:lineRule="auto"/>
      </w:pPr>
      <w:r w:rsidRPr="00E54204">
        <w:t>Jacobs, Louis. </w:t>
      </w:r>
      <w:r w:rsidRPr="00E54204">
        <w:rPr>
          <w:i/>
          <w:iCs/>
        </w:rPr>
        <w:t>The Jewish Religion: A Companion</w:t>
      </w:r>
      <w:r w:rsidRPr="00E54204">
        <w:t xml:space="preserve">. Oxford: Oxford University Press, </w:t>
      </w:r>
    </w:p>
    <w:p w14:paraId="67BC19AF" w14:textId="77777777" w:rsidR="002C6ACB" w:rsidRPr="00E54204" w:rsidRDefault="002C6ACB" w:rsidP="004B60D7">
      <w:pPr>
        <w:spacing w:line="240" w:lineRule="auto"/>
        <w:ind w:left="720"/>
      </w:pPr>
      <w:r w:rsidRPr="00E54204">
        <w:t>1995. </w:t>
      </w:r>
      <w:r w:rsidRPr="00E54204">
        <w:rPr>
          <w:i/>
          <w:iCs/>
        </w:rPr>
        <w:t>eBook Collection (EBSCOhost)</w:t>
      </w:r>
      <w:r w:rsidRPr="00E54204">
        <w:t>, EBSCO</w:t>
      </w:r>
      <w:r w:rsidRPr="00E54204">
        <w:rPr>
          <w:i/>
          <w:iCs/>
        </w:rPr>
        <w:t>host</w:t>
      </w:r>
      <w:r w:rsidRPr="00E54204">
        <w:t>.</w:t>
      </w:r>
    </w:p>
    <w:p w14:paraId="36324DBA" w14:textId="77777777" w:rsidR="002C6ACB" w:rsidRPr="00E54204" w:rsidRDefault="002C6ACB" w:rsidP="002C6ACB">
      <w:pPr>
        <w:spacing w:line="240" w:lineRule="auto"/>
        <w:ind w:firstLine="720"/>
      </w:pPr>
    </w:p>
    <w:p w14:paraId="42DCBBC7" w14:textId="77777777" w:rsidR="004B60D7" w:rsidRPr="00E54204" w:rsidRDefault="002C6ACB" w:rsidP="004B60D7">
      <w:pPr>
        <w:spacing w:line="240" w:lineRule="auto"/>
        <w:rPr>
          <w:bCs/>
          <w:i/>
          <w:iCs/>
        </w:rPr>
      </w:pPr>
      <w:r w:rsidRPr="00E54204">
        <w:rPr>
          <w:bCs/>
        </w:rPr>
        <w:t>Jassen, Alex P. </w:t>
      </w:r>
      <w:r w:rsidRPr="00E54204">
        <w:rPr>
          <w:bCs/>
          <w:i/>
          <w:iCs/>
        </w:rPr>
        <w:t>Mediating the Divine Prophecy and Revelation in the Dead Sea Sc</w:t>
      </w:r>
      <w:r w:rsidR="004B60D7" w:rsidRPr="00E54204">
        <w:rPr>
          <w:bCs/>
          <w:i/>
          <w:iCs/>
        </w:rPr>
        <w:t xml:space="preserve">rolls </w:t>
      </w:r>
    </w:p>
    <w:p w14:paraId="291C87A7" w14:textId="77777777" w:rsidR="002C6ACB" w:rsidRPr="00E54204" w:rsidRDefault="004B60D7" w:rsidP="004B60D7">
      <w:pPr>
        <w:spacing w:line="240" w:lineRule="auto"/>
        <w:ind w:firstLine="720"/>
        <w:rPr>
          <w:bCs/>
          <w:i/>
          <w:iCs/>
        </w:rPr>
      </w:pPr>
      <w:r w:rsidRPr="00E54204">
        <w:rPr>
          <w:bCs/>
          <w:i/>
          <w:iCs/>
        </w:rPr>
        <w:t xml:space="preserve">and </w:t>
      </w:r>
      <w:r w:rsidR="002C6ACB" w:rsidRPr="00E54204">
        <w:rPr>
          <w:bCs/>
          <w:i/>
          <w:iCs/>
        </w:rPr>
        <w:t>Second Temple Judaism</w:t>
      </w:r>
      <w:r w:rsidR="002C6ACB" w:rsidRPr="00E54204">
        <w:rPr>
          <w:bCs/>
        </w:rPr>
        <w:t>. Leiden: Brill, 2007.</w:t>
      </w:r>
    </w:p>
    <w:p w14:paraId="468CDAA6" w14:textId="77777777" w:rsidR="002C6ACB" w:rsidRPr="00E54204" w:rsidRDefault="002C6ACB" w:rsidP="002C6ACB">
      <w:pPr>
        <w:spacing w:line="240" w:lineRule="auto"/>
        <w:ind w:firstLine="720"/>
        <w:rPr>
          <w:bCs/>
        </w:rPr>
      </w:pPr>
    </w:p>
    <w:p w14:paraId="24ACE900" w14:textId="77777777" w:rsidR="002C6ACB" w:rsidRPr="00E54204" w:rsidRDefault="002C6ACB" w:rsidP="002C6ACB">
      <w:pPr>
        <w:spacing w:line="240" w:lineRule="auto"/>
        <w:rPr>
          <w:bCs/>
        </w:rPr>
      </w:pPr>
      <w:r w:rsidRPr="00E54204">
        <w:rPr>
          <w:bCs/>
        </w:rPr>
        <w:t>_______2008. “Prophets and Prophecy in the Qumran Community”. </w:t>
      </w:r>
      <w:r w:rsidRPr="00E54204">
        <w:rPr>
          <w:bCs/>
          <w:i/>
          <w:iCs/>
        </w:rPr>
        <w:t>AJS Review</w:t>
      </w:r>
      <w:r w:rsidRPr="00E54204">
        <w:rPr>
          <w:bCs/>
        </w:rPr>
        <w:t xml:space="preserve"> 32 (2). </w:t>
      </w:r>
    </w:p>
    <w:p w14:paraId="18735E8C" w14:textId="77777777" w:rsidR="002C6ACB" w:rsidRPr="00E54204" w:rsidRDefault="002C6ACB" w:rsidP="002C6ACB">
      <w:pPr>
        <w:spacing w:line="240" w:lineRule="auto"/>
        <w:ind w:left="720"/>
        <w:rPr>
          <w:bCs/>
        </w:rPr>
      </w:pPr>
      <w:r w:rsidRPr="00E54204">
        <w:rPr>
          <w:bCs/>
        </w:rPr>
        <w:t>[Cambridge University Press, Association for Jewish Studies]: 299–334. http://www.jstor.org/stable/27564361.</w:t>
      </w:r>
    </w:p>
    <w:p w14:paraId="1CFEE785" w14:textId="77777777" w:rsidR="002C6ACB" w:rsidRPr="00E54204" w:rsidRDefault="002C6ACB" w:rsidP="002C6ACB">
      <w:pPr>
        <w:spacing w:line="240" w:lineRule="auto"/>
        <w:ind w:left="720"/>
        <w:rPr>
          <w:bCs/>
        </w:rPr>
      </w:pPr>
    </w:p>
    <w:p w14:paraId="7A0497CE" w14:textId="77777777" w:rsidR="004B60D7" w:rsidRPr="00E54204" w:rsidRDefault="002C6ACB" w:rsidP="004B60D7">
      <w:pPr>
        <w:spacing w:line="240" w:lineRule="auto"/>
        <w:rPr>
          <w:bCs/>
          <w:i/>
          <w:iCs/>
        </w:rPr>
      </w:pPr>
      <w:r w:rsidRPr="00E54204">
        <w:rPr>
          <w:rFonts w:hint="eastAsia"/>
          <w:bCs/>
        </w:rPr>
        <w:t>Jastrow, Marcus. </w:t>
      </w:r>
      <w:r w:rsidRPr="00E54204">
        <w:rPr>
          <w:rFonts w:hint="eastAsia"/>
          <w:bCs/>
          <w:i/>
          <w:iCs/>
        </w:rPr>
        <w:t>A Dictionary of the Targumim, the Talmu</w:t>
      </w:r>
      <w:r w:rsidR="004B60D7" w:rsidRPr="00E54204">
        <w:rPr>
          <w:rFonts w:hint="eastAsia"/>
          <w:bCs/>
          <w:i/>
          <w:iCs/>
        </w:rPr>
        <w:t xml:space="preserve">d Babli and Yerushalmi, and </w:t>
      </w:r>
    </w:p>
    <w:p w14:paraId="1D40A669" w14:textId="77777777" w:rsidR="002C6ACB" w:rsidRPr="00E54204" w:rsidRDefault="004B60D7" w:rsidP="004B60D7">
      <w:pPr>
        <w:spacing w:line="240" w:lineRule="auto"/>
        <w:ind w:firstLine="720"/>
        <w:rPr>
          <w:bCs/>
          <w:i/>
          <w:iCs/>
        </w:rPr>
      </w:pPr>
      <w:r w:rsidRPr="00E54204">
        <w:rPr>
          <w:rFonts w:hint="eastAsia"/>
          <w:bCs/>
          <w:i/>
          <w:iCs/>
        </w:rPr>
        <w:t xml:space="preserve">the </w:t>
      </w:r>
      <w:r w:rsidR="002C6ACB" w:rsidRPr="00E54204">
        <w:rPr>
          <w:rFonts w:hint="eastAsia"/>
          <w:bCs/>
          <w:i/>
          <w:iCs/>
        </w:rPr>
        <w:t>Midrashic Literature</w:t>
      </w:r>
      <w:r w:rsidR="002C6ACB" w:rsidRPr="00E54204">
        <w:rPr>
          <w:rFonts w:hint="eastAsia"/>
          <w:bCs/>
        </w:rPr>
        <w:t>. London: Trübner, 1886.</w:t>
      </w:r>
    </w:p>
    <w:p w14:paraId="543CC543" w14:textId="77777777" w:rsidR="002C6ACB" w:rsidRPr="00E54204" w:rsidRDefault="002C6ACB" w:rsidP="002C6ACB">
      <w:pPr>
        <w:spacing w:line="240" w:lineRule="auto"/>
        <w:ind w:firstLine="720"/>
        <w:rPr>
          <w:bCs/>
        </w:rPr>
      </w:pPr>
    </w:p>
    <w:p w14:paraId="3A68813E" w14:textId="77777777" w:rsidR="004B60D7" w:rsidRPr="00E54204" w:rsidRDefault="002C6ACB" w:rsidP="004B60D7">
      <w:pPr>
        <w:spacing w:line="240" w:lineRule="auto"/>
        <w:rPr>
          <w:rFonts w:cs="Times New Roman"/>
          <w:bCs/>
          <w:i/>
          <w:iCs/>
          <w:szCs w:val="21"/>
          <w:shd w:val="clear" w:color="auto" w:fill="FFFEFB"/>
        </w:rPr>
      </w:pPr>
      <w:r w:rsidRPr="00E54204">
        <w:rPr>
          <w:rFonts w:cs="Times New Roman" w:hint="eastAsia"/>
          <w:bCs/>
          <w:szCs w:val="21"/>
          <w:shd w:val="clear" w:color="auto" w:fill="FFFEFB"/>
        </w:rPr>
        <w:t>Josephus, Flavius, William Whiston, and Flavius Josephus. </w:t>
      </w:r>
      <w:r w:rsidR="004B60D7" w:rsidRPr="00E54204">
        <w:rPr>
          <w:rFonts w:cs="Times New Roman" w:hint="eastAsia"/>
          <w:bCs/>
          <w:i/>
          <w:iCs/>
          <w:szCs w:val="21"/>
          <w:shd w:val="clear" w:color="auto" w:fill="FFFEFB"/>
        </w:rPr>
        <w:t xml:space="preserve">The Works of Flavius </w:t>
      </w:r>
    </w:p>
    <w:p w14:paraId="5633028F" w14:textId="77777777" w:rsidR="002C6ACB" w:rsidRPr="00E54204" w:rsidRDefault="004B60D7" w:rsidP="004B60D7">
      <w:pPr>
        <w:spacing w:line="240" w:lineRule="auto"/>
        <w:ind w:left="720"/>
        <w:rPr>
          <w:rFonts w:cs="Times New Roman"/>
          <w:bCs/>
          <w:i/>
          <w:iCs/>
          <w:szCs w:val="21"/>
          <w:shd w:val="clear" w:color="auto" w:fill="FFFEFB"/>
        </w:rPr>
      </w:pPr>
      <w:r w:rsidRPr="00E54204">
        <w:rPr>
          <w:rFonts w:cs="Times New Roman" w:hint="eastAsia"/>
          <w:bCs/>
          <w:i/>
          <w:iCs/>
          <w:szCs w:val="21"/>
          <w:shd w:val="clear" w:color="auto" w:fill="FFFEFB"/>
        </w:rPr>
        <w:t xml:space="preserve">Josephus: </w:t>
      </w:r>
      <w:r w:rsidR="002C6ACB" w:rsidRPr="00E54204">
        <w:rPr>
          <w:rFonts w:cs="Times New Roman" w:hint="eastAsia"/>
          <w:bCs/>
          <w:i/>
          <w:iCs/>
          <w:szCs w:val="21"/>
          <w:shd w:val="clear" w:color="auto" w:fill="FFFEFB"/>
        </w:rPr>
        <w:t>Comprising the Antiquities of the Jews, a History of the Jewish Wars, and Life of Flavius Josephus, Written by Himself</w:t>
      </w:r>
      <w:r w:rsidR="002C6ACB" w:rsidRPr="00E54204">
        <w:rPr>
          <w:rFonts w:cs="Times New Roman" w:hint="eastAsia"/>
          <w:bCs/>
          <w:szCs w:val="21"/>
          <w:shd w:val="clear" w:color="auto" w:fill="FFFEFB"/>
        </w:rPr>
        <w:t>. Philadelphia, Pa: Jas. B. Smith &amp; Co, 1854</w:t>
      </w:r>
      <w:r w:rsidR="002C6ACB" w:rsidRPr="00E54204">
        <w:rPr>
          <w:rFonts w:cs="Times New Roman"/>
          <w:bCs/>
          <w:szCs w:val="21"/>
          <w:shd w:val="clear" w:color="auto" w:fill="FFFEFB"/>
        </w:rPr>
        <w:t>.</w:t>
      </w:r>
    </w:p>
    <w:p w14:paraId="7DF61C62" w14:textId="77777777" w:rsidR="002C6ACB" w:rsidRPr="00E54204" w:rsidRDefault="002C6ACB" w:rsidP="002C6ACB">
      <w:pPr>
        <w:spacing w:line="240" w:lineRule="auto"/>
        <w:ind w:left="720"/>
        <w:rPr>
          <w:rFonts w:cs="Times New Roman"/>
          <w:bCs/>
          <w:szCs w:val="21"/>
          <w:shd w:val="clear" w:color="auto" w:fill="FFFEFB"/>
        </w:rPr>
      </w:pPr>
    </w:p>
    <w:p w14:paraId="65ABE624" w14:textId="77777777" w:rsidR="002C6ACB" w:rsidRPr="00E54204" w:rsidRDefault="002C6ACB" w:rsidP="002C6ACB">
      <w:pPr>
        <w:spacing w:line="240" w:lineRule="auto"/>
        <w:rPr>
          <w:rFonts w:cs="Times New Roman"/>
          <w:bCs/>
          <w:szCs w:val="21"/>
          <w:shd w:val="clear" w:color="auto" w:fill="FFFEFB"/>
        </w:rPr>
      </w:pPr>
      <w:r w:rsidRPr="00E54204">
        <w:rPr>
          <w:rFonts w:cs="Times New Roman"/>
          <w:bCs/>
          <w:szCs w:val="21"/>
          <w:shd w:val="clear" w:color="auto" w:fill="FFFEFB"/>
        </w:rPr>
        <w:t>Kadushin, Max. </w:t>
      </w:r>
      <w:r w:rsidRPr="00E54204">
        <w:rPr>
          <w:rFonts w:cs="Times New Roman"/>
          <w:bCs/>
          <w:i/>
          <w:iCs/>
          <w:szCs w:val="21"/>
          <w:shd w:val="clear" w:color="auto" w:fill="FFFEFB"/>
        </w:rPr>
        <w:t>The Rabbinic Mind</w:t>
      </w:r>
      <w:r w:rsidRPr="00E54204">
        <w:rPr>
          <w:rFonts w:cs="Times New Roman"/>
          <w:bCs/>
          <w:szCs w:val="21"/>
          <w:shd w:val="clear" w:color="auto" w:fill="FFFEFB"/>
        </w:rPr>
        <w:t> (3d ed.). New York: Bloch Pub., 1972.</w:t>
      </w:r>
    </w:p>
    <w:p w14:paraId="0EA8EDBD" w14:textId="77777777" w:rsidR="002C6ACB" w:rsidRPr="00E54204" w:rsidRDefault="002C6ACB" w:rsidP="002C6ACB">
      <w:pPr>
        <w:spacing w:line="240" w:lineRule="auto"/>
        <w:rPr>
          <w:rFonts w:cs="Times New Roman"/>
          <w:bCs/>
          <w:szCs w:val="21"/>
          <w:shd w:val="clear" w:color="auto" w:fill="FFFEFB"/>
        </w:rPr>
      </w:pPr>
    </w:p>
    <w:p w14:paraId="01B52C67" w14:textId="77777777" w:rsidR="004B60D7" w:rsidRPr="00E54204" w:rsidRDefault="002C6ACB" w:rsidP="004B60D7">
      <w:pPr>
        <w:spacing w:line="240" w:lineRule="auto"/>
        <w:rPr>
          <w:rFonts w:cs="Times New Roman"/>
          <w:bCs/>
          <w:szCs w:val="21"/>
          <w:shd w:val="clear" w:color="auto" w:fill="FFFEFB"/>
        </w:rPr>
      </w:pPr>
      <w:r w:rsidRPr="00E54204">
        <w:rPr>
          <w:rFonts w:cs="Times New Roman"/>
          <w:bCs/>
          <w:szCs w:val="21"/>
          <w:shd w:val="clear" w:color="auto" w:fill="FFFEFB"/>
        </w:rPr>
        <w:t xml:space="preserve">Kalmin, Richard. </w:t>
      </w:r>
      <w:r w:rsidRPr="00E54204">
        <w:rPr>
          <w:rFonts w:cs="Times New Roman"/>
          <w:bCs/>
          <w:i/>
          <w:szCs w:val="21"/>
          <w:shd w:val="clear" w:color="auto" w:fill="FFFEFB"/>
        </w:rPr>
        <w:t>Sages, Stories, Authors, and Editors in Rabbinic Babylonia</w:t>
      </w:r>
      <w:r w:rsidR="004B60D7" w:rsidRPr="00E54204">
        <w:rPr>
          <w:rFonts w:cs="Times New Roman"/>
          <w:bCs/>
          <w:szCs w:val="21"/>
          <w:shd w:val="clear" w:color="auto" w:fill="FFFEFB"/>
        </w:rPr>
        <w:t xml:space="preserve">. Atlanta: </w:t>
      </w:r>
    </w:p>
    <w:p w14:paraId="1E751C80" w14:textId="77777777" w:rsidR="002C6ACB" w:rsidRPr="00E54204" w:rsidRDefault="004B60D7" w:rsidP="004B60D7">
      <w:pPr>
        <w:spacing w:line="240" w:lineRule="auto"/>
        <w:ind w:firstLine="720"/>
        <w:rPr>
          <w:rFonts w:cs="Times New Roman"/>
          <w:bCs/>
          <w:szCs w:val="21"/>
          <w:shd w:val="clear" w:color="auto" w:fill="FFFEFB"/>
        </w:rPr>
      </w:pPr>
      <w:r w:rsidRPr="00E54204">
        <w:rPr>
          <w:rFonts w:cs="Times New Roman"/>
          <w:bCs/>
          <w:szCs w:val="21"/>
          <w:shd w:val="clear" w:color="auto" w:fill="FFFEFB"/>
        </w:rPr>
        <w:t xml:space="preserve">Scholars </w:t>
      </w:r>
      <w:r w:rsidR="002C6ACB" w:rsidRPr="00E54204">
        <w:rPr>
          <w:rFonts w:cs="Times New Roman"/>
          <w:bCs/>
          <w:szCs w:val="21"/>
          <w:shd w:val="clear" w:color="auto" w:fill="FFFEFB"/>
        </w:rPr>
        <w:t>Press, 1994.</w:t>
      </w:r>
    </w:p>
    <w:p w14:paraId="0DD30D02" w14:textId="77777777" w:rsidR="002C6ACB" w:rsidRPr="00E54204" w:rsidRDefault="002C6ACB" w:rsidP="002C6ACB">
      <w:pPr>
        <w:spacing w:line="240" w:lineRule="auto"/>
        <w:ind w:firstLine="720"/>
        <w:rPr>
          <w:rFonts w:cs="Times New Roman"/>
          <w:bCs/>
          <w:szCs w:val="21"/>
          <w:shd w:val="clear" w:color="auto" w:fill="FFFEFB"/>
        </w:rPr>
      </w:pPr>
    </w:p>
    <w:p w14:paraId="74A6BA2C" w14:textId="77777777" w:rsidR="002C6ACB" w:rsidRPr="00E54204" w:rsidRDefault="002C6ACB" w:rsidP="002C6ACB">
      <w:pPr>
        <w:spacing w:line="240" w:lineRule="auto"/>
        <w:rPr>
          <w:rFonts w:cs="Times New Roman"/>
          <w:bCs/>
          <w:szCs w:val="21"/>
          <w:shd w:val="clear" w:color="auto" w:fill="FFFEFB"/>
        </w:rPr>
      </w:pPr>
      <w:r w:rsidRPr="00E54204">
        <w:rPr>
          <w:rFonts w:cs="Times New Roman"/>
          <w:bCs/>
          <w:szCs w:val="21"/>
          <w:shd w:val="clear" w:color="auto" w:fill="FFFEFB"/>
        </w:rPr>
        <w:softHyphen/>
      </w:r>
      <w:r w:rsidRPr="00E54204">
        <w:rPr>
          <w:rFonts w:cs="Times New Roman"/>
          <w:bCs/>
          <w:szCs w:val="21"/>
          <w:shd w:val="clear" w:color="auto" w:fill="FFFEFB"/>
        </w:rPr>
        <w:softHyphen/>
        <w:t xml:space="preserve">_______. </w:t>
      </w:r>
      <w:r w:rsidRPr="00E54204">
        <w:rPr>
          <w:rFonts w:cs="Times New Roman"/>
          <w:bCs/>
          <w:i/>
          <w:szCs w:val="21"/>
          <w:shd w:val="clear" w:color="auto" w:fill="FFFEFB"/>
        </w:rPr>
        <w:t>The Sage in Jewish Society of Late Antiquity</w:t>
      </w:r>
      <w:r w:rsidRPr="00E54204">
        <w:rPr>
          <w:rFonts w:cs="Times New Roman"/>
          <w:bCs/>
          <w:szCs w:val="21"/>
          <w:shd w:val="clear" w:color="auto" w:fill="FFFEFB"/>
        </w:rPr>
        <w:t>. New York: Routledge, 1999.</w:t>
      </w:r>
    </w:p>
    <w:p w14:paraId="3B412FE2" w14:textId="77777777" w:rsidR="002C6ACB" w:rsidRPr="00E54204" w:rsidRDefault="002C6ACB" w:rsidP="002C6ACB">
      <w:pPr>
        <w:spacing w:line="240" w:lineRule="auto"/>
        <w:rPr>
          <w:rFonts w:cs="Times New Roman"/>
          <w:bCs/>
          <w:szCs w:val="21"/>
          <w:shd w:val="clear" w:color="auto" w:fill="FFFEFB"/>
        </w:rPr>
      </w:pPr>
    </w:p>
    <w:p w14:paraId="4ED6BB5B" w14:textId="77777777" w:rsidR="004B60D7" w:rsidRPr="00E54204" w:rsidRDefault="002C6ACB" w:rsidP="004B60D7">
      <w:pPr>
        <w:spacing w:line="240" w:lineRule="auto"/>
        <w:rPr>
          <w:rFonts w:cs="Times New Roman"/>
          <w:bCs/>
          <w:i/>
          <w:iCs/>
          <w:szCs w:val="21"/>
          <w:shd w:val="clear" w:color="auto" w:fill="FFFEFB"/>
        </w:rPr>
      </w:pPr>
      <w:r w:rsidRPr="00E54204">
        <w:rPr>
          <w:rFonts w:cs="Times New Roman"/>
          <w:bCs/>
          <w:szCs w:val="21"/>
          <w:shd w:val="clear" w:color="auto" w:fill="FFFEFB"/>
        </w:rPr>
        <w:t>Kirkpatrick, William. </w:t>
      </w:r>
      <w:r w:rsidRPr="00E54204">
        <w:rPr>
          <w:rFonts w:cs="Times New Roman"/>
          <w:bCs/>
          <w:i/>
          <w:iCs/>
          <w:szCs w:val="21"/>
          <w:shd w:val="clear" w:color="auto" w:fill="FFFEFB"/>
        </w:rPr>
        <w:t xml:space="preserve">A Vocabulary, Persian, Arabic, and English Containing Such </w:t>
      </w:r>
    </w:p>
    <w:p w14:paraId="1EDE6C20" w14:textId="77777777" w:rsidR="002C6ACB" w:rsidRPr="00E54204" w:rsidRDefault="002C6ACB" w:rsidP="004B60D7">
      <w:pPr>
        <w:spacing w:line="240" w:lineRule="auto"/>
        <w:ind w:left="720"/>
        <w:rPr>
          <w:rFonts w:cs="Times New Roman"/>
          <w:bCs/>
          <w:i/>
          <w:iCs/>
          <w:szCs w:val="21"/>
          <w:shd w:val="clear" w:color="auto" w:fill="FFFEFB"/>
        </w:rPr>
      </w:pPr>
      <w:r w:rsidRPr="00E54204">
        <w:rPr>
          <w:rFonts w:cs="Times New Roman"/>
          <w:bCs/>
          <w:i/>
          <w:iCs/>
          <w:szCs w:val="21"/>
          <w:shd w:val="clear" w:color="auto" w:fill="FFFEFB"/>
        </w:rPr>
        <w:t>Words as Have Been Adopted from the Two Former of Those Languages, and Incorporated into the Hindvi: ... Being the Seventh Part of the New Hindvi Grammar and Dict</w:t>
      </w:r>
      <w:r w:rsidR="00890FCB" w:rsidRPr="00E54204">
        <w:rPr>
          <w:rFonts w:cs="Times New Roman"/>
          <w:bCs/>
          <w:i/>
          <w:iCs/>
          <w:szCs w:val="21"/>
          <w:shd w:val="clear" w:color="auto" w:fill="FFFEFB"/>
        </w:rPr>
        <w:t>ionary. By William Kirkpatrick</w:t>
      </w:r>
      <w:r w:rsidRPr="00E54204">
        <w:rPr>
          <w:rFonts w:cs="Times New Roman"/>
          <w:bCs/>
          <w:i/>
          <w:iCs/>
          <w:szCs w:val="21"/>
          <w:shd w:val="clear" w:color="auto" w:fill="FFFEFB"/>
        </w:rPr>
        <w:t>.</w:t>
      </w:r>
      <w:r w:rsidRPr="00E54204">
        <w:rPr>
          <w:rFonts w:cs="Times New Roman"/>
          <w:bCs/>
          <w:szCs w:val="21"/>
          <w:shd w:val="clear" w:color="auto" w:fill="FFFEFB"/>
        </w:rPr>
        <w:t> London: Printed by Joseph Cooper, 1785.</w:t>
      </w:r>
    </w:p>
    <w:p w14:paraId="55E6C7D6" w14:textId="77777777" w:rsidR="002C6ACB" w:rsidRPr="00E54204" w:rsidRDefault="002C6ACB" w:rsidP="002C6ACB">
      <w:pPr>
        <w:spacing w:line="240" w:lineRule="auto"/>
        <w:ind w:left="720"/>
        <w:rPr>
          <w:rFonts w:cs="Times New Roman"/>
          <w:bCs/>
          <w:szCs w:val="21"/>
          <w:shd w:val="clear" w:color="auto" w:fill="FFFEFB"/>
        </w:rPr>
      </w:pPr>
    </w:p>
    <w:p w14:paraId="118D5023" w14:textId="77777777" w:rsidR="004B60D7" w:rsidRPr="00E54204" w:rsidRDefault="002C6ACB" w:rsidP="004B60D7">
      <w:pPr>
        <w:spacing w:line="240" w:lineRule="auto"/>
        <w:rPr>
          <w:rFonts w:cs="Times New Roman"/>
          <w:bCs/>
          <w:i/>
          <w:iCs/>
          <w:szCs w:val="21"/>
          <w:shd w:val="clear" w:color="auto" w:fill="FFFEFB"/>
        </w:rPr>
      </w:pPr>
      <w:r w:rsidRPr="00E54204">
        <w:rPr>
          <w:rFonts w:cs="Times New Roman"/>
          <w:bCs/>
          <w:szCs w:val="21"/>
          <w:shd w:val="clear" w:color="auto" w:fill="FFFEFB"/>
        </w:rPr>
        <w:t>Kirschner, Robert. "Apocalyptic and Rabbinic Responses to the Destruction of 70." </w:t>
      </w:r>
      <w:r w:rsidRPr="00E54204">
        <w:rPr>
          <w:rFonts w:cs="Times New Roman"/>
          <w:bCs/>
          <w:i/>
          <w:iCs/>
          <w:szCs w:val="21"/>
          <w:shd w:val="clear" w:color="auto" w:fill="FFFEFB"/>
        </w:rPr>
        <w:t xml:space="preserve">The </w:t>
      </w:r>
    </w:p>
    <w:p w14:paraId="7547F7B3" w14:textId="77777777" w:rsidR="002C6ACB" w:rsidRPr="00E54204" w:rsidRDefault="002C6ACB" w:rsidP="004B60D7">
      <w:pPr>
        <w:spacing w:line="240" w:lineRule="auto"/>
        <w:ind w:firstLine="720"/>
        <w:rPr>
          <w:rFonts w:cs="Times New Roman"/>
          <w:bCs/>
          <w:i/>
          <w:iCs/>
          <w:szCs w:val="21"/>
          <w:shd w:val="clear" w:color="auto" w:fill="FFFEFB"/>
        </w:rPr>
      </w:pPr>
      <w:r w:rsidRPr="00E54204">
        <w:rPr>
          <w:rFonts w:cs="Times New Roman"/>
          <w:bCs/>
          <w:i/>
          <w:iCs/>
          <w:szCs w:val="21"/>
          <w:shd w:val="clear" w:color="auto" w:fill="FFFEFB"/>
        </w:rPr>
        <w:t>Harvard Theological Review</w:t>
      </w:r>
      <w:r w:rsidRPr="00E54204">
        <w:rPr>
          <w:rFonts w:cs="Times New Roman"/>
          <w:bCs/>
          <w:szCs w:val="21"/>
          <w:shd w:val="clear" w:color="auto" w:fill="FFFEFB"/>
        </w:rPr>
        <w:t>, 2nd ser., 78, no. 1 (1985): 27-46.</w:t>
      </w:r>
    </w:p>
    <w:p w14:paraId="64F67594" w14:textId="77777777" w:rsidR="002C6ACB" w:rsidRPr="00E54204" w:rsidRDefault="002C6ACB" w:rsidP="002C6ACB">
      <w:pPr>
        <w:spacing w:line="240" w:lineRule="auto"/>
        <w:ind w:firstLine="720"/>
        <w:rPr>
          <w:rFonts w:cs="Times New Roman"/>
          <w:bCs/>
          <w:szCs w:val="21"/>
          <w:shd w:val="clear" w:color="auto" w:fill="FFFEFB"/>
        </w:rPr>
      </w:pPr>
    </w:p>
    <w:p w14:paraId="5E0989CD" w14:textId="77777777" w:rsidR="00A67FA0" w:rsidRPr="00E54204" w:rsidRDefault="00A67FA0" w:rsidP="00A67FA0">
      <w:pPr>
        <w:spacing w:line="240" w:lineRule="auto"/>
        <w:rPr>
          <w:rFonts w:cs="Times New Roman"/>
          <w:bCs/>
          <w:i/>
          <w:iCs/>
          <w:szCs w:val="21"/>
          <w:shd w:val="clear" w:color="auto" w:fill="FFFEFB"/>
        </w:rPr>
      </w:pPr>
      <w:r w:rsidRPr="00E54204">
        <w:rPr>
          <w:rFonts w:cs="Times New Roman"/>
          <w:bCs/>
          <w:szCs w:val="21"/>
          <w:shd w:val="clear" w:color="auto" w:fill="FFFEFB"/>
        </w:rPr>
        <w:t>Kittel, Gerhard, G. W. Bromiley, and Gerhard Friedrich. </w:t>
      </w:r>
      <w:r w:rsidRPr="00E54204">
        <w:rPr>
          <w:rFonts w:cs="Times New Roman"/>
          <w:bCs/>
          <w:i/>
          <w:iCs/>
          <w:szCs w:val="21"/>
          <w:shd w:val="clear" w:color="auto" w:fill="FFFEFB"/>
        </w:rPr>
        <w:t xml:space="preserve">Theological Dictionary of the </w:t>
      </w:r>
    </w:p>
    <w:p w14:paraId="2EF871EA" w14:textId="77777777" w:rsidR="002C6ACB" w:rsidRPr="00E54204" w:rsidRDefault="00A67FA0" w:rsidP="00A67FA0">
      <w:pPr>
        <w:spacing w:line="240" w:lineRule="auto"/>
        <w:ind w:firstLine="720"/>
        <w:rPr>
          <w:rFonts w:cs="Times New Roman"/>
          <w:bCs/>
          <w:szCs w:val="21"/>
          <w:shd w:val="clear" w:color="auto" w:fill="FFFEFB"/>
        </w:rPr>
      </w:pPr>
      <w:r w:rsidRPr="00E54204">
        <w:rPr>
          <w:rFonts w:cs="Times New Roman"/>
          <w:bCs/>
          <w:i/>
          <w:iCs/>
          <w:szCs w:val="21"/>
          <w:shd w:val="clear" w:color="auto" w:fill="FFFEFB"/>
        </w:rPr>
        <w:t>New Testament</w:t>
      </w:r>
      <w:r w:rsidRPr="00E54204">
        <w:rPr>
          <w:rFonts w:cs="Times New Roman"/>
          <w:bCs/>
          <w:szCs w:val="21"/>
          <w:shd w:val="clear" w:color="auto" w:fill="FFFEFB"/>
        </w:rPr>
        <w:t>. Vol. IX. Grand Rapids, MI: Eerdmans, 1974</w:t>
      </w:r>
      <w:r w:rsidR="00B77850" w:rsidRPr="00E54204">
        <w:rPr>
          <w:rFonts w:cs="Times New Roman"/>
          <w:bCs/>
          <w:szCs w:val="21"/>
          <w:shd w:val="clear" w:color="auto" w:fill="FFFEFB"/>
        </w:rPr>
        <w:t>: 278-301</w:t>
      </w:r>
      <w:r w:rsidRPr="00E54204">
        <w:rPr>
          <w:rFonts w:cs="Times New Roman"/>
          <w:bCs/>
          <w:szCs w:val="21"/>
          <w:shd w:val="clear" w:color="auto" w:fill="FFFEFB"/>
        </w:rPr>
        <w:t>.</w:t>
      </w:r>
    </w:p>
    <w:p w14:paraId="0C36DBD4" w14:textId="77777777" w:rsidR="005472B8" w:rsidRPr="00E54204" w:rsidRDefault="005472B8" w:rsidP="00A67FA0">
      <w:pPr>
        <w:spacing w:line="240" w:lineRule="auto"/>
        <w:ind w:firstLine="720"/>
        <w:rPr>
          <w:rFonts w:cs="Times New Roman"/>
          <w:bCs/>
          <w:szCs w:val="21"/>
          <w:shd w:val="clear" w:color="auto" w:fill="FFFEFB"/>
        </w:rPr>
      </w:pPr>
    </w:p>
    <w:p w14:paraId="2F9C01E0" w14:textId="77777777" w:rsidR="008E1AC3" w:rsidRPr="00E54204" w:rsidRDefault="009C034E" w:rsidP="008E1AC3">
      <w:pPr>
        <w:spacing w:line="240" w:lineRule="auto"/>
        <w:rPr>
          <w:rFonts w:cs="Times New Roman"/>
          <w:bCs/>
          <w:szCs w:val="21"/>
          <w:shd w:val="clear" w:color="auto" w:fill="FFFEFB"/>
        </w:rPr>
      </w:pPr>
      <w:r w:rsidRPr="00E54204">
        <w:rPr>
          <w:rFonts w:cs="Times New Roman"/>
          <w:bCs/>
          <w:szCs w:val="21"/>
          <w:shd w:val="clear" w:color="auto" w:fill="FFFEFB"/>
        </w:rPr>
        <w:t>Kitto, John, ed. </w:t>
      </w:r>
      <w:r w:rsidRPr="00E54204">
        <w:rPr>
          <w:rFonts w:cs="Times New Roman"/>
          <w:bCs/>
          <w:i/>
          <w:iCs/>
          <w:szCs w:val="21"/>
          <w:shd w:val="clear" w:color="auto" w:fill="FFFEFB"/>
        </w:rPr>
        <w:t>The Cyclopædia of Biblical Literature</w:t>
      </w:r>
      <w:r w:rsidRPr="00E54204">
        <w:rPr>
          <w:rFonts w:cs="Times New Roman"/>
          <w:bCs/>
          <w:szCs w:val="21"/>
          <w:shd w:val="clear" w:color="auto" w:fill="FFFEFB"/>
        </w:rPr>
        <w:t xml:space="preserve">. </w:t>
      </w:r>
      <w:r w:rsidR="008E1AC3" w:rsidRPr="00E54204">
        <w:rPr>
          <w:rFonts w:cs="Times New Roman"/>
          <w:bCs/>
          <w:szCs w:val="21"/>
          <w:shd w:val="clear" w:color="auto" w:fill="FFFEFB"/>
        </w:rPr>
        <w:t>10</w:t>
      </w:r>
      <w:r w:rsidR="008E1AC3" w:rsidRPr="00E54204">
        <w:rPr>
          <w:rFonts w:cs="Times New Roman"/>
          <w:bCs/>
          <w:szCs w:val="21"/>
          <w:shd w:val="clear" w:color="auto" w:fill="FFFEFB"/>
          <w:vertAlign w:val="superscript"/>
        </w:rPr>
        <w:t>th</w:t>
      </w:r>
      <w:r w:rsidR="008E1AC3" w:rsidRPr="00E54204">
        <w:rPr>
          <w:rFonts w:cs="Times New Roman"/>
          <w:bCs/>
          <w:szCs w:val="21"/>
          <w:shd w:val="clear" w:color="auto" w:fill="FFFEFB"/>
        </w:rPr>
        <w:t xml:space="preserve"> ed. Vol. I. New York: Ivison </w:t>
      </w:r>
    </w:p>
    <w:p w14:paraId="0F00A826" w14:textId="77777777" w:rsidR="005472B8" w:rsidRPr="00E54204" w:rsidRDefault="008E1AC3" w:rsidP="008E1AC3">
      <w:pPr>
        <w:spacing w:line="240" w:lineRule="auto"/>
        <w:ind w:firstLine="720"/>
        <w:rPr>
          <w:rFonts w:cs="Times New Roman"/>
          <w:bCs/>
          <w:szCs w:val="21"/>
          <w:shd w:val="clear" w:color="auto" w:fill="FFFEFB"/>
        </w:rPr>
      </w:pPr>
      <w:r w:rsidRPr="00E54204">
        <w:rPr>
          <w:rFonts w:cs="Times New Roman"/>
          <w:bCs/>
          <w:szCs w:val="21"/>
          <w:shd w:val="clear" w:color="auto" w:fill="FFFEFB"/>
        </w:rPr>
        <w:t xml:space="preserve">&amp; </w:t>
      </w:r>
      <w:r w:rsidR="009C034E" w:rsidRPr="00E54204">
        <w:rPr>
          <w:rFonts w:cs="Times New Roman"/>
          <w:bCs/>
          <w:szCs w:val="21"/>
          <w:shd w:val="clear" w:color="auto" w:fill="FFFEFB"/>
        </w:rPr>
        <w:t>Phinney, 1858.</w:t>
      </w:r>
    </w:p>
    <w:p w14:paraId="273F6F01" w14:textId="77777777" w:rsidR="00A67FA0" w:rsidRPr="00E54204" w:rsidRDefault="00A67FA0" w:rsidP="002C6ACB">
      <w:pPr>
        <w:spacing w:line="240" w:lineRule="auto"/>
        <w:ind w:firstLine="720"/>
        <w:rPr>
          <w:rFonts w:cs="Times New Roman"/>
          <w:bCs/>
          <w:szCs w:val="21"/>
          <w:shd w:val="clear" w:color="auto" w:fill="FFFEFB"/>
        </w:rPr>
      </w:pPr>
    </w:p>
    <w:p w14:paraId="479251DA" w14:textId="77777777" w:rsidR="002C6ACB" w:rsidRPr="00E54204" w:rsidRDefault="002C6ACB" w:rsidP="002C6ACB">
      <w:pPr>
        <w:spacing w:line="240" w:lineRule="auto"/>
        <w:rPr>
          <w:rFonts w:cs="Times New Roman"/>
          <w:bCs/>
          <w:szCs w:val="21"/>
          <w:shd w:val="clear" w:color="auto" w:fill="FFFEFB"/>
        </w:rPr>
      </w:pPr>
      <w:r w:rsidRPr="00E54204">
        <w:rPr>
          <w:rFonts w:cs="Times New Roman"/>
          <w:bCs/>
          <w:i/>
          <w:iCs/>
          <w:szCs w:val="21"/>
          <w:shd w:val="clear" w:color="auto" w:fill="FFFEFB"/>
        </w:rPr>
        <w:t>Koren Talmud Bavli Tractate Eiruvin, Daf Yomi B &amp; W Edition</w:t>
      </w:r>
      <w:r w:rsidRPr="00E54204">
        <w:rPr>
          <w:rFonts w:cs="Times New Roman"/>
          <w:bCs/>
          <w:szCs w:val="21"/>
          <w:shd w:val="clear" w:color="auto" w:fill="FFFEFB"/>
        </w:rPr>
        <w:t>. Koren Pub, 2013.</w:t>
      </w:r>
    </w:p>
    <w:p w14:paraId="535B05E4" w14:textId="77777777" w:rsidR="002C6ACB" w:rsidRPr="00E54204" w:rsidRDefault="002C6ACB" w:rsidP="002C6ACB">
      <w:pPr>
        <w:spacing w:line="240" w:lineRule="auto"/>
        <w:rPr>
          <w:rFonts w:cs="Times New Roman"/>
          <w:bCs/>
          <w:szCs w:val="21"/>
          <w:shd w:val="clear" w:color="auto" w:fill="FFFEFB"/>
        </w:rPr>
      </w:pPr>
    </w:p>
    <w:p w14:paraId="65FDD2AB" w14:textId="77777777" w:rsidR="004B60D7" w:rsidRPr="00E54204" w:rsidRDefault="002C6ACB" w:rsidP="004B60D7">
      <w:pPr>
        <w:spacing w:line="240" w:lineRule="auto"/>
        <w:rPr>
          <w:rFonts w:cs="Times New Roman"/>
          <w:bCs/>
          <w:i/>
          <w:szCs w:val="21"/>
          <w:shd w:val="clear" w:color="auto" w:fill="FFFEFB"/>
        </w:rPr>
      </w:pPr>
      <w:r w:rsidRPr="00E54204">
        <w:rPr>
          <w:rFonts w:cs="Times New Roman"/>
          <w:bCs/>
          <w:szCs w:val="21"/>
          <w:shd w:val="clear" w:color="auto" w:fill="FFFEFB"/>
        </w:rPr>
        <w:t xml:space="preserve">Kuhn, Peter. </w:t>
      </w:r>
      <w:r w:rsidRPr="00E54204">
        <w:rPr>
          <w:rFonts w:cs="Times New Roman"/>
          <w:bCs/>
          <w:i/>
          <w:szCs w:val="21"/>
          <w:shd w:val="clear" w:color="auto" w:fill="FFFEFB"/>
        </w:rPr>
        <w:t xml:space="preserve">Offenbarung Stimmen im Antiken Judentum: Untersuchungen zur Bat Qol </w:t>
      </w:r>
    </w:p>
    <w:p w14:paraId="5587D7F7" w14:textId="77777777" w:rsidR="002C6ACB" w:rsidRPr="00E54204" w:rsidRDefault="002C6ACB" w:rsidP="004B60D7">
      <w:pPr>
        <w:spacing w:line="240" w:lineRule="auto"/>
        <w:ind w:firstLine="720"/>
        <w:rPr>
          <w:rFonts w:cs="Times New Roman"/>
          <w:bCs/>
          <w:i/>
          <w:szCs w:val="21"/>
          <w:shd w:val="clear" w:color="auto" w:fill="FFFEFB"/>
        </w:rPr>
      </w:pPr>
      <w:r w:rsidRPr="00E54204">
        <w:rPr>
          <w:rFonts w:cs="Times New Roman"/>
          <w:bCs/>
          <w:i/>
          <w:szCs w:val="21"/>
          <w:shd w:val="clear" w:color="auto" w:fill="FFFEFB"/>
        </w:rPr>
        <w:t>und verwandeten Ph</w:t>
      </w:r>
      <w:r w:rsidRPr="00E54204">
        <w:rPr>
          <w:rFonts w:cs="Times New Roman"/>
          <w:bCs/>
          <w:i/>
          <w:iCs/>
        </w:rPr>
        <w:t>ä</w:t>
      </w:r>
      <w:r w:rsidRPr="00E54204">
        <w:rPr>
          <w:rFonts w:cs="Times New Roman"/>
          <w:bCs/>
          <w:i/>
          <w:szCs w:val="21"/>
          <w:shd w:val="clear" w:color="auto" w:fill="FFFEFB"/>
        </w:rPr>
        <w:t>nomen</w:t>
      </w:r>
      <w:r w:rsidRPr="00E54204">
        <w:rPr>
          <w:rFonts w:cs="Times New Roman"/>
          <w:bCs/>
          <w:szCs w:val="21"/>
          <w:shd w:val="clear" w:color="auto" w:fill="FFFEFB"/>
        </w:rPr>
        <w:t>. Mohr Siebeck, 1989.</w:t>
      </w:r>
    </w:p>
    <w:p w14:paraId="57750382" w14:textId="77777777" w:rsidR="002C6ACB" w:rsidRPr="00E54204" w:rsidRDefault="002C6ACB" w:rsidP="002C6ACB">
      <w:pPr>
        <w:spacing w:line="240" w:lineRule="auto"/>
        <w:ind w:firstLine="720"/>
        <w:rPr>
          <w:rFonts w:cs="Times New Roman"/>
          <w:bCs/>
          <w:szCs w:val="21"/>
          <w:shd w:val="clear" w:color="auto" w:fill="FFFEFB"/>
        </w:rPr>
      </w:pPr>
    </w:p>
    <w:p w14:paraId="3F1477D4" w14:textId="77777777" w:rsidR="004B60D7" w:rsidRPr="00E54204" w:rsidRDefault="002C6ACB" w:rsidP="004B60D7">
      <w:pPr>
        <w:spacing w:line="240" w:lineRule="auto"/>
        <w:rPr>
          <w:rFonts w:cs="Times New Roman"/>
          <w:bCs/>
          <w:i/>
          <w:iCs/>
        </w:rPr>
      </w:pPr>
      <w:r w:rsidRPr="00E54204">
        <w:rPr>
          <w:rFonts w:cs="Times New Roman"/>
          <w:bCs/>
        </w:rPr>
        <w:t>Lieberman, Saul. </w:t>
      </w:r>
      <w:r w:rsidRPr="00E54204">
        <w:rPr>
          <w:rFonts w:cs="Times New Roman"/>
          <w:bCs/>
          <w:i/>
          <w:iCs/>
        </w:rPr>
        <w:t xml:space="preserve">Hellenism in Jewish Palestine; Studies in the Literary Transmission, </w:t>
      </w:r>
    </w:p>
    <w:p w14:paraId="0F45E58C" w14:textId="77777777" w:rsidR="002C6ACB" w:rsidRPr="00E54204" w:rsidRDefault="002C6ACB" w:rsidP="004B60D7">
      <w:pPr>
        <w:spacing w:line="240" w:lineRule="auto"/>
        <w:ind w:left="720"/>
        <w:rPr>
          <w:rFonts w:cs="Times New Roman"/>
          <w:bCs/>
          <w:i/>
          <w:iCs/>
        </w:rPr>
      </w:pPr>
      <w:r w:rsidRPr="00E54204">
        <w:rPr>
          <w:rFonts w:cs="Times New Roman"/>
          <w:bCs/>
          <w:i/>
          <w:iCs/>
        </w:rPr>
        <w:t>B</w:t>
      </w:r>
      <w:r w:rsidR="004B60D7" w:rsidRPr="00E54204">
        <w:rPr>
          <w:rFonts w:cs="Times New Roman"/>
          <w:bCs/>
          <w:i/>
          <w:iCs/>
        </w:rPr>
        <w:t xml:space="preserve">eliefs </w:t>
      </w:r>
      <w:r w:rsidRPr="00E54204">
        <w:rPr>
          <w:rFonts w:cs="Times New Roman"/>
          <w:bCs/>
          <w:i/>
          <w:iCs/>
        </w:rPr>
        <w:t>and Manners of Palestine in the I century B.C.E.-IV century C.E.</w:t>
      </w:r>
      <w:r w:rsidRPr="00E54204">
        <w:rPr>
          <w:rFonts w:cs="Times New Roman"/>
          <w:bCs/>
        </w:rPr>
        <w:t> New York: Jewish Theological Seminary of America, 1950.</w:t>
      </w:r>
    </w:p>
    <w:p w14:paraId="0783E40F" w14:textId="77777777" w:rsidR="002C6ACB" w:rsidRPr="00E54204" w:rsidRDefault="002C6ACB" w:rsidP="002C6ACB">
      <w:pPr>
        <w:spacing w:line="240" w:lineRule="auto"/>
        <w:ind w:left="720"/>
        <w:rPr>
          <w:rFonts w:cs="Times New Roman"/>
          <w:bCs/>
        </w:rPr>
      </w:pPr>
    </w:p>
    <w:p w14:paraId="69D0CFC4" w14:textId="77777777" w:rsidR="004B60D7" w:rsidRPr="00E54204" w:rsidRDefault="002C6ACB" w:rsidP="004B60D7">
      <w:pPr>
        <w:spacing w:line="240" w:lineRule="auto"/>
        <w:rPr>
          <w:rFonts w:cs="Times New Roman"/>
          <w:bCs/>
          <w:i/>
          <w:iCs/>
        </w:rPr>
      </w:pPr>
      <w:r w:rsidRPr="00E54204">
        <w:rPr>
          <w:rFonts w:cs="Times New Roman"/>
          <w:bCs/>
          <w:iCs/>
        </w:rPr>
        <w:t xml:space="preserve">Lightfoot, John. </w:t>
      </w:r>
      <w:r w:rsidR="00717BA4" w:rsidRPr="00E54204">
        <w:rPr>
          <w:rFonts w:cs="Times New Roman"/>
          <w:bCs/>
          <w:i/>
          <w:iCs/>
        </w:rPr>
        <w:t>Horæ Hebraicæ et T</w:t>
      </w:r>
      <w:r w:rsidRPr="00E54204">
        <w:rPr>
          <w:rFonts w:cs="Times New Roman"/>
          <w:bCs/>
          <w:i/>
          <w:iCs/>
        </w:rPr>
        <w:t>almudicæ; Hebrew and Ta</w:t>
      </w:r>
      <w:r w:rsidR="004B60D7" w:rsidRPr="00E54204">
        <w:rPr>
          <w:rFonts w:cs="Times New Roman"/>
          <w:bCs/>
          <w:i/>
          <w:iCs/>
        </w:rPr>
        <w:t xml:space="preserve">lmudical exercitations </w:t>
      </w:r>
    </w:p>
    <w:p w14:paraId="0ABF7483" w14:textId="77777777" w:rsidR="002C6ACB" w:rsidRPr="00E54204" w:rsidRDefault="004B60D7" w:rsidP="004B60D7">
      <w:pPr>
        <w:spacing w:line="240" w:lineRule="auto"/>
        <w:ind w:left="720"/>
        <w:rPr>
          <w:rFonts w:cs="Times New Roman"/>
          <w:bCs/>
          <w:i/>
          <w:iCs/>
        </w:rPr>
      </w:pPr>
      <w:r w:rsidRPr="00E54204">
        <w:rPr>
          <w:rFonts w:cs="Times New Roman"/>
          <w:bCs/>
          <w:i/>
          <w:iCs/>
        </w:rPr>
        <w:t xml:space="preserve">upon the </w:t>
      </w:r>
      <w:r w:rsidR="002C6ACB" w:rsidRPr="00E54204">
        <w:rPr>
          <w:rFonts w:cs="Times New Roman"/>
          <w:bCs/>
          <w:i/>
          <w:iCs/>
        </w:rPr>
        <w:t>Gospels, the Acts, some chapters of St. Paul's Epistle to the Romans, and the First epistle to the Corinthians</w:t>
      </w:r>
      <w:r w:rsidR="002C6ACB" w:rsidRPr="00E54204">
        <w:rPr>
          <w:rFonts w:cs="Times New Roman"/>
          <w:bCs/>
          <w:iCs/>
        </w:rPr>
        <w:t>. Vol. II. Oxford: University Press, 1859.</w:t>
      </w:r>
    </w:p>
    <w:p w14:paraId="6DE5850D" w14:textId="77777777" w:rsidR="002C6ACB" w:rsidRPr="00E54204" w:rsidRDefault="002C6ACB" w:rsidP="002C6ACB">
      <w:pPr>
        <w:spacing w:line="240" w:lineRule="auto"/>
        <w:ind w:left="720"/>
        <w:rPr>
          <w:rFonts w:cs="Times New Roman"/>
          <w:bCs/>
          <w:iCs/>
        </w:rPr>
      </w:pPr>
    </w:p>
    <w:p w14:paraId="192E3E28" w14:textId="77777777" w:rsidR="002C6ACB" w:rsidRPr="00E54204" w:rsidRDefault="002C6ACB" w:rsidP="002C6ACB">
      <w:pPr>
        <w:spacing w:line="240" w:lineRule="auto"/>
        <w:rPr>
          <w:rFonts w:cs="Times New Roman"/>
          <w:bCs/>
        </w:rPr>
      </w:pPr>
      <w:r w:rsidRPr="00E54204">
        <w:rPr>
          <w:rFonts w:cs="Times New Roman" w:hint="eastAsia"/>
          <w:bCs/>
        </w:rPr>
        <w:t>Lindbeck, Kristen H. </w:t>
      </w:r>
      <w:r w:rsidRPr="00E54204">
        <w:rPr>
          <w:rFonts w:cs="Times New Roman" w:hint="eastAsia"/>
          <w:bCs/>
          <w:i/>
          <w:iCs/>
        </w:rPr>
        <w:t>Elijah and the Rabbis: Story and Theology</w:t>
      </w:r>
      <w:r w:rsidRPr="00E54204">
        <w:rPr>
          <w:rFonts w:cs="Times New Roman" w:hint="eastAsia"/>
          <w:bCs/>
        </w:rPr>
        <w:t xml:space="preserve">. New York: Columbia </w:t>
      </w:r>
    </w:p>
    <w:p w14:paraId="1E1356E1" w14:textId="77777777" w:rsidR="002C6ACB" w:rsidRPr="00E54204" w:rsidRDefault="002C6ACB" w:rsidP="002C6ACB">
      <w:pPr>
        <w:spacing w:line="240" w:lineRule="auto"/>
        <w:ind w:firstLine="720"/>
        <w:rPr>
          <w:rFonts w:cs="Times New Roman"/>
          <w:bCs/>
        </w:rPr>
      </w:pPr>
      <w:r w:rsidRPr="00E54204">
        <w:rPr>
          <w:rFonts w:cs="Times New Roman" w:hint="eastAsia"/>
          <w:bCs/>
        </w:rPr>
        <w:t>University Press, 2010.</w:t>
      </w:r>
    </w:p>
    <w:p w14:paraId="66F8C11D" w14:textId="77777777" w:rsidR="002C6ACB" w:rsidRPr="00E54204" w:rsidRDefault="002C6ACB" w:rsidP="002C6ACB">
      <w:pPr>
        <w:spacing w:line="240" w:lineRule="auto"/>
        <w:ind w:firstLine="720"/>
        <w:rPr>
          <w:rFonts w:cs="Times New Roman"/>
          <w:bCs/>
        </w:rPr>
      </w:pPr>
    </w:p>
    <w:p w14:paraId="70156B65" w14:textId="77777777" w:rsidR="002C6ACB" w:rsidRPr="00E54204" w:rsidRDefault="002C6ACB" w:rsidP="002C6ACB">
      <w:pPr>
        <w:spacing w:line="240" w:lineRule="auto"/>
        <w:rPr>
          <w:rFonts w:cs="Times New Roman"/>
          <w:bCs/>
          <w:i/>
          <w:iCs/>
        </w:rPr>
      </w:pPr>
      <w:r w:rsidRPr="00E54204">
        <w:rPr>
          <w:rFonts w:cs="Times New Roman"/>
          <w:bCs/>
          <w:iCs/>
        </w:rPr>
        <w:t xml:space="preserve">Lindblom, Johannes. </w:t>
      </w:r>
      <w:r w:rsidRPr="00E54204">
        <w:rPr>
          <w:rFonts w:cs="Times New Roman"/>
          <w:bCs/>
          <w:i/>
          <w:iCs/>
        </w:rPr>
        <w:t xml:space="preserve">Vorstellungen von göttlichen Weisungen und übernatürlichen </w:t>
      </w:r>
    </w:p>
    <w:p w14:paraId="00C5F72F" w14:textId="77777777" w:rsidR="002C6ACB" w:rsidRPr="00E54204" w:rsidRDefault="002C6ACB" w:rsidP="002C6ACB">
      <w:pPr>
        <w:spacing w:line="240" w:lineRule="auto"/>
        <w:ind w:firstLine="720"/>
        <w:rPr>
          <w:rFonts w:cs="Times New Roman"/>
          <w:bCs/>
          <w:iCs/>
        </w:rPr>
      </w:pPr>
      <w:r w:rsidRPr="00E54204">
        <w:rPr>
          <w:rFonts w:cs="Times New Roman"/>
          <w:bCs/>
          <w:i/>
          <w:iCs/>
        </w:rPr>
        <w:t>Erscheinungen im ältesten Christentum</w:t>
      </w:r>
      <w:r w:rsidRPr="00E54204">
        <w:rPr>
          <w:rFonts w:cs="Times New Roman"/>
          <w:bCs/>
          <w:iCs/>
        </w:rPr>
        <w:t>. Lund: Gleerup, 1968.</w:t>
      </w:r>
    </w:p>
    <w:p w14:paraId="45A8725B" w14:textId="77777777" w:rsidR="002C6ACB" w:rsidRPr="00E54204" w:rsidRDefault="002C6ACB" w:rsidP="0036720F">
      <w:pPr>
        <w:spacing w:line="240" w:lineRule="auto"/>
        <w:rPr>
          <w:rFonts w:cs="Times New Roman"/>
          <w:color w:val="000000"/>
          <w:szCs w:val="24"/>
        </w:rPr>
      </w:pPr>
    </w:p>
    <w:p w14:paraId="6A37F44F" w14:textId="77777777" w:rsidR="002C6ACB" w:rsidRPr="00E54204" w:rsidRDefault="002C6ACB" w:rsidP="002C6ACB">
      <w:pPr>
        <w:spacing w:line="240" w:lineRule="auto"/>
        <w:rPr>
          <w:rFonts w:cs="Times New Roman"/>
          <w:bCs/>
          <w:color w:val="000000"/>
          <w:szCs w:val="24"/>
        </w:rPr>
      </w:pPr>
      <w:r w:rsidRPr="00E54204">
        <w:rPr>
          <w:rFonts w:cs="Times New Roman"/>
          <w:bCs/>
          <w:color w:val="000000"/>
          <w:szCs w:val="24"/>
        </w:rPr>
        <w:t>Maimonides, Moses. </w:t>
      </w:r>
      <w:r w:rsidRPr="00E54204">
        <w:rPr>
          <w:rFonts w:cs="Times New Roman"/>
          <w:bCs/>
          <w:i/>
          <w:iCs/>
          <w:color w:val="000000"/>
          <w:szCs w:val="24"/>
        </w:rPr>
        <w:t>The Guide for the Perplexed</w:t>
      </w:r>
      <w:r w:rsidRPr="00E54204">
        <w:rPr>
          <w:rFonts w:cs="Times New Roman"/>
          <w:bCs/>
          <w:color w:val="000000"/>
          <w:szCs w:val="24"/>
        </w:rPr>
        <w:t xml:space="preserve">. Translated by M. Friedländer. 2nd ed. </w:t>
      </w:r>
    </w:p>
    <w:p w14:paraId="7FA46B8A" w14:textId="77777777" w:rsidR="002C6ACB" w:rsidRPr="00E54204" w:rsidRDefault="002C6ACB" w:rsidP="002C6ACB">
      <w:pPr>
        <w:spacing w:line="240" w:lineRule="auto"/>
        <w:ind w:firstLine="720"/>
        <w:rPr>
          <w:rFonts w:cs="Times New Roman"/>
          <w:bCs/>
          <w:color w:val="000000"/>
          <w:szCs w:val="24"/>
        </w:rPr>
      </w:pPr>
      <w:r w:rsidRPr="00E54204">
        <w:rPr>
          <w:rFonts w:cs="Times New Roman"/>
          <w:bCs/>
          <w:color w:val="000000"/>
          <w:szCs w:val="24"/>
        </w:rPr>
        <w:t>London: George Routledge &amp; Sons, 1904.</w:t>
      </w:r>
    </w:p>
    <w:p w14:paraId="61BE7C1A" w14:textId="77777777" w:rsidR="002C6ACB" w:rsidRPr="00E54204" w:rsidRDefault="002C6ACB" w:rsidP="002C6ACB">
      <w:pPr>
        <w:spacing w:line="240" w:lineRule="auto"/>
        <w:ind w:firstLine="720"/>
        <w:rPr>
          <w:rFonts w:cs="Times New Roman"/>
          <w:color w:val="000000"/>
          <w:szCs w:val="24"/>
        </w:rPr>
      </w:pPr>
    </w:p>
    <w:p w14:paraId="63ABCBBB" w14:textId="77777777" w:rsidR="002C6ACB" w:rsidRPr="00E54204" w:rsidRDefault="002C6ACB" w:rsidP="002C6ACB">
      <w:pPr>
        <w:spacing w:line="240" w:lineRule="auto"/>
        <w:rPr>
          <w:rFonts w:cs="Times New Roman"/>
          <w:bCs/>
          <w:i/>
          <w:iCs/>
          <w:color w:val="000000"/>
          <w:szCs w:val="24"/>
        </w:rPr>
      </w:pPr>
      <w:r w:rsidRPr="00E54204">
        <w:rPr>
          <w:rFonts w:cs="Times New Roman"/>
          <w:bCs/>
          <w:color w:val="000000"/>
          <w:szCs w:val="24"/>
        </w:rPr>
        <w:t>Marmorstein, Arthur. </w:t>
      </w:r>
      <w:r w:rsidRPr="00E54204">
        <w:rPr>
          <w:rFonts w:cs="Times New Roman"/>
          <w:bCs/>
          <w:i/>
          <w:iCs/>
          <w:color w:val="000000"/>
          <w:szCs w:val="24"/>
        </w:rPr>
        <w:t xml:space="preserve">Studies in Jewish theology; the Arthur Marmorstein memorial </w:t>
      </w:r>
    </w:p>
    <w:p w14:paraId="50B3C06A" w14:textId="77777777" w:rsidR="002C6ACB" w:rsidRPr="00E54204" w:rsidRDefault="002C6ACB" w:rsidP="002C6ACB">
      <w:pPr>
        <w:spacing w:line="240" w:lineRule="auto"/>
        <w:ind w:firstLine="720"/>
        <w:rPr>
          <w:rFonts w:cs="Times New Roman"/>
          <w:bCs/>
          <w:color w:val="000000"/>
          <w:szCs w:val="24"/>
        </w:rPr>
      </w:pPr>
      <w:r w:rsidRPr="00E54204">
        <w:rPr>
          <w:rFonts w:cs="Times New Roman"/>
          <w:bCs/>
          <w:i/>
          <w:iCs/>
          <w:color w:val="000000"/>
          <w:szCs w:val="24"/>
        </w:rPr>
        <w:t>Volume.</w:t>
      </w:r>
      <w:r w:rsidRPr="00E54204">
        <w:rPr>
          <w:rFonts w:cs="Times New Roman"/>
          <w:bCs/>
          <w:color w:val="000000"/>
          <w:szCs w:val="24"/>
        </w:rPr>
        <w:t> London: Oxford University Press, 1950.</w:t>
      </w:r>
    </w:p>
    <w:p w14:paraId="1AE98989" w14:textId="77777777" w:rsidR="002C6ACB" w:rsidRPr="00E54204" w:rsidRDefault="002C6ACB" w:rsidP="00890FCB">
      <w:pPr>
        <w:spacing w:line="240" w:lineRule="auto"/>
        <w:rPr>
          <w:rFonts w:cs="Times New Roman"/>
          <w:bCs/>
          <w:color w:val="000000"/>
          <w:szCs w:val="24"/>
        </w:rPr>
      </w:pPr>
    </w:p>
    <w:p w14:paraId="0C4E1D3F" w14:textId="77777777" w:rsidR="002C6ACB" w:rsidRPr="00E54204" w:rsidRDefault="002C6ACB" w:rsidP="002C6ACB">
      <w:pPr>
        <w:spacing w:line="240" w:lineRule="auto"/>
        <w:rPr>
          <w:rFonts w:cs="Times New Roman"/>
          <w:bCs/>
          <w:i/>
          <w:iCs/>
          <w:color w:val="000000"/>
          <w:szCs w:val="24"/>
        </w:rPr>
      </w:pPr>
      <w:r w:rsidRPr="00E54204">
        <w:rPr>
          <w:rFonts w:cs="Times New Roman"/>
          <w:bCs/>
          <w:color w:val="000000"/>
          <w:szCs w:val="24"/>
        </w:rPr>
        <w:t>Moore, George Foot. </w:t>
      </w:r>
      <w:r w:rsidRPr="00E54204">
        <w:rPr>
          <w:rFonts w:cs="Times New Roman"/>
          <w:bCs/>
          <w:i/>
          <w:iCs/>
          <w:color w:val="000000"/>
          <w:szCs w:val="24"/>
        </w:rPr>
        <w:t xml:space="preserve">Judaism in the First Centuries of the Christian Era: The Age of the </w:t>
      </w:r>
    </w:p>
    <w:p w14:paraId="2BC4B083" w14:textId="77777777" w:rsidR="002C6ACB" w:rsidRPr="00E54204" w:rsidRDefault="002C6ACB" w:rsidP="002C6ACB">
      <w:pPr>
        <w:spacing w:line="240" w:lineRule="auto"/>
        <w:ind w:firstLine="720"/>
        <w:rPr>
          <w:rFonts w:cs="Times New Roman"/>
          <w:bCs/>
          <w:color w:val="000000"/>
          <w:szCs w:val="24"/>
        </w:rPr>
      </w:pPr>
      <w:r w:rsidRPr="00E54204">
        <w:rPr>
          <w:rFonts w:cs="Times New Roman"/>
          <w:bCs/>
          <w:i/>
          <w:iCs/>
          <w:color w:val="000000"/>
          <w:szCs w:val="24"/>
        </w:rPr>
        <w:t>Tannaim</w:t>
      </w:r>
      <w:r w:rsidRPr="00E54204">
        <w:rPr>
          <w:rFonts w:cs="Times New Roman"/>
          <w:bCs/>
          <w:color w:val="000000"/>
          <w:szCs w:val="24"/>
        </w:rPr>
        <w:t>. Vol. I-II. Cambridge: Harvar</w:t>
      </w:r>
      <w:r w:rsidR="009E4BBB" w:rsidRPr="00E54204">
        <w:rPr>
          <w:rFonts w:cs="Times New Roman"/>
          <w:bCs/>
          <w:color w:val="000000"/>
          <w:szCs w:val="24"/>
        </w:rPr>
        <w:t>d University Press, 1927</w:t>
      </w:r>
      <w:r w:rsidRPr="00E54204">
        <w:rPr>
          <w:rFonts w:cs="Times New Roman"/>
          <w:bCs/>
          <w:color w:val="000000"/>
          <w:szCs w:val="24"/>
        </w:rPr>
        <w:t>.</w:t>
      </w:r>
    </w:p>
    <w:p w14:paraId="33B45507" w14:textId="77777777" w:rsidR="002C6ACB" w:rsidRPr="00E54204" w:rsidRDefault="002C6ACB" w:rsidP="002C6ACB">
      <w:pPr>
        <w:spacing w:line="240" w:lineRule="auto"/>
        <w:ind w:firstLine="720"/>
        <w:rPr>
          <w:rFonts w:cs="Times New Roman"/>
          <w:bCs/>
          <w:color w:val="000000"/>
          <w:szCs w:val="24"/>
        </w:rPr>
      </w:pPr>
    </w:p>
    <w:p w14:paraId="282EB34E" w14:textId="77777777" w:rsidR="00492433" w:rsidRPr="00E54204" w:rsidRDefault="002C6ACB" w:rsidP="002E3A00">
      <w:pPr>
        <w:spacing w:line="240" w:lineRule="auto"/>
        <w:rPr>
          <w:rFonts w:cs="Times New Roman"/>
          <w:bCs/>
          <w:color w:val="000000"/>
          <w:szCs w:val="24"/>
        </w:rPr>
      </w:pPr>
      <w:r w:rsidRPr="00E54204">
        <w:rPr>
          <w:rFonts w:cs="Times New Roman"/>
          <w:bCs/>
          <w:color w:val="000000"/>
          <w:szCs w:val="24"/>
        </w:rPr>
        <w:t xml:space="preserve">Moss, Candida R. </w:t>
      </w:r>
      <w:r w:rsidR="002E3A00" w:rsidRPr="00E54204">
        <w:rPr>
          <w:rFonts w:cs="Times New Roman"/>
          <w:bCs/>
          <w:color w:val="000000"/>
          <w:szCs w:val="24"/>
        </w:rPr>
        <w:t xml:space="preserve">2010. </w:t>
      </w:r>
      <w:r w:rsidRPr="00E54204">
        <w:rPr>
          <w:rFonts w:cs="Times New Roman"/>
          <w:bCs/>
          <w:color w:val="000000"/>
          <w:szCs w:val="24"/>
        </w:rPr>
        <w:t xml:space="preserve">"On the Dating of Polycarp: Rethinking the Place of the </w:t>
      </w:r>
    </w:p>
    <w:p w14:paraId="22A16EEF" w14:textId="77777777" w:rsidR="002C6ACB" w:rsidRPr="00E54204" w:rsidRDefault="002E3A00" w:rsidP="00492433">
      <w:pPr>
        <w:spacing w:line="240" w:lineRule="auto"/>
        <w:ind w:left="720"/>
        <w:rPr>
          <w:rFonts w:cs="Times New Roman"/>
          <w:bCs/>
          <w:color w:val="000000"/>
          <w:szCs w:val="24"/>
        </w:rPr>
      </w:pPr>
      <w:r w:rsidRPr="00E54204">
        <w:rPr>
          <w:rFonts w:cs="Times New Roman"/>
          <w:bCs/>
          <w:i/>
          <w:iCs/>
          <w:color w:val="000000"/>
          <w:szCs w:val="24"/>
        </w:rPr>
        <w:t xml:space="preserve">Martyrdom of </w:t>
      </w:r>
      <w:r w:rsidR="002C6ACB" w:rsidRPr="00E54204">
        <w:rPr>
          <w:rFonts w:cs="Times New Roman"/>
          <w:bCs/>
          <w:i/>
          <w:iCs/>
          <w:color w:val="000000"/>
          <w:szCs w:val="24"/>
        </w:rPr>
        <w:t>Polycarp</w:t>
      </w:r>
      <w:r w:rsidR="002C6ACB" w:rsidRPr="00E54204">
        <w:rPr>
          <w:rFonts w:cs="Times New Roman"/>
          <w:bCs/>
          <w:color w:val="000000"/>
          <w:szCs w:val="24"/>
        </w:rPr>
        <w:t> in the History of Christianity." </w:t>
      </w:r>
      <w:r w:rsidR="002C6ACB" w:rsidRPr="00E54204">
        <w:rPr>
          <w:rFonts w:cs="Times New Roman"/>
          <w:bCs/>
          <w:i/>
          <w:iCs/>
          <w:color w:val="000000"/>
          <w:szCs w:val="24"/>
        </w:rPr>
        <w:t>Early Christianity</w:t>
      </w:r>
      <w:r w:rsidRPr="00E54204">
        <w:rPr>
          <w:rFonts w:cs="Times New Roman"/>
          <w:bCs/>
          <w:color w:val="000000"/>
          <w:szCs w:val="24"/>
        </w:rPr>
        <w:t> 1, no. 4</w:t>
      </w:r>
      <w:r w:rsidR="004B60D7" w:rsidRPr="00E54204">
        <w:rPr>
          <w:rFonts w:cs="Times New Roman"/>
          <w:bCs/>
          <w:color w:val="000000"/>
          <w:szCs w:val="24"/>
        </w:rPr>
        <w:t>: 539-</w:t>
      </w:r>
      <w:r w:rsidR="002C6ACB" w:rsidRPr="00E54204">
        <w:rPr>
          <w:rFonts w:cs="Times New Roman"/>
          <w:bCs/>
          <w:color w:val="000000"/>
          <w:szCs w:val="24"/>
        </w:rPr>
        <w:t>74.</w:t>
      </w:r>
    </w:p>
    <w:p w14:paraId="26299820" w14:textId="77777777" w:rsidR="002C6ACB" w:rsidRPr="00E54204" w:rsidRDefault="002C6ACB" w:rsidP="002C6ACB">
      <w:pPr>
        <w:spacing w:line="240" w:lineRule="auto"/>
        <w:rPr>
          <w:rFonts w:eastAsia="Arial Unicode MS" w:cs="Times New Roman"/>
          <w:bCs/>
          <w:color w:val="000000"/>
          <w:szCs w:val="24"/>
        </w:rPr>
      </w:pPr>
    </w:p>
    <w:p w14:paraId="24BDBA2D" w14:textId="77777777" w:rsidR="004B60D7" w:rsidRPr="00E54204" w:rsidRDefault="002C6ACB" w:rsidP="004B60D7">
      <w:pPr>
        <w:spacing w:line="240" w:lineRule="auto"/>
        <w:rPr>
          <w:rFonts w:eastAsia="Arial Unicode MS" w:cs="Times New Roman"/>
          <w:bCs/>
          <w:color w:val="000000"/>
          <w:szCs w:val="24"/>
        </w:rPr>
      </w:pPr>
      <w:r w:rsidRPr="00E54204">
        <w:rPr>
          <w:rFonts w:eastAsia="Arial Unicode MS" w:cs="Times New Roman"/>
          <w:bCs/>
          <w:color w:val="000000"/>
          <w:szCs w:val="24"/>
        </w:rPr>
        <w:t>Newman, Barclay Moon. </w:t>
      </w:r>
      <w:r w:rsidRPr="00E54204">
        <w:rPr>
          <w:rFonts w:eastAsia="Arial Unicode MS" w:cs="Times New Roman"/>
          <w:bCs/>
          <w:i/>
          <w:iCs/>
          <w:color w:val="000000"/>
          <w:szCs w:val="24"/>
        </w:rPr>
        <w:t>A Concise Greek-English Dictionary of the New Testament</w:t>
      </w:r>
      <w:r w:rsidRPr="00E54204">
        <w:rPr>
          <w:rFonts w:eastAsia="Arial Unicode MS" w:cs="Times New Roman"/>
          <w:bCs/>
          <w:color w:val="000000"/>
          <w:szCs w:val="24"/>
        </w:rPr>
        <w:t xml:space="preserve">. </w:t>
      </w:r>
    </w:p>
    <w:p w14:paraId="1D9C0CD1" w14:textId="77777777" w:rsidR="002C6ACB" w:rsidRPr="00E54204" w:rsidRDefault="002C6ACB" w:rsidP="004B60D7">
      <w:pPr>
        <w:spacing w:line="240" w:lineRule="auto"/>
        <w:ind w:firstLine="720"/>
        <w:rPr>
          <w:rFonts w:eastAsia="Arial Unicode MS" w:cs="Times New Roman"/>
          <w:bCs/>
          <w:color w:val="000000"/>
          <w:szCs w:val="24"/>
        </w:rPr>
      </w:pPr>
      <w:r w:rsidRPr="00E54204">
        <w:rPr>
          <w:rFonts w:eastAsia="Arial Unicode MS" w:cs="Times New Roman"/>
          <w:bCs/>
          <w:color w:val="000000"/>
          <w:szCs w:val="24"/>
        </w:rPr>
        <w:t>Londo</w:t>
      </w:r>
      <w:r w:rsidR="004B60D7" w:rsidRPr="00E54204">
        <w:rPr>
          <w:rFonts w:eastAsia="Arial Unicode MS" w:cs="Times New Roman"/>
          <w:bCs/>
          <w:color w:val="000000"/>
          <w:szCs w:val="24"/>
        </w:rPr>
        <w:t xml:space="preserve">n: </w:t>
      </w:r>
      <w:r w:rsidRPr="00E54204">
        <w:rPr>
          <w:rFonts w:eastAsia="Arial Unicode MS" w:cs="Times New Roman"/>
          <w:bCs/>
          <w:color w:val="000000"/>
          <w:szCs w:val="24"/>
        </w:rPr>
        <w:t>United Bible Societies, 1971.</w:t>
      </w:r>
    </w:p>
    <w:p w14:paraId="06A477CF" w14:textId="77777777" w:rsidR="002C6ACB" w:rsidRPr="00E54204" w:rsidRDefault="002C6ACB" w:rsidP="002C6ACB">
      <w:pPr>
        <w:spacing w:line="240" w:lineRule="auto"/>
        <w:ind w:firstLine="720"/>
        <w:rPr>
          <w:rFonts w:eastAsia="Arial Unicode MS" w:cs="Times New Roman"/>
          <w:bCs/>
          <w:color w:val="000000"/>
          <w:szCs w:val="24"/>
        </w:rPr>
      </w:pPr>
    </w:p>
    <w:p w14:paraId="6E94F76B" w14:textId="77777777" w:rsidR="004B60D7" w:rsidRPr="00E54204" w:rsidRDefault="002C6ACB" w:rsidP="004B60D7">
      <w:pPr>
        <w:spacing w:line="240" w:lineRule="auto"/>
      </w:pPr>
      <w:r w:rsidRPr="00E54204">
        <w:t xml:space="preserve">Neusner, Jacob. </w:t>
      </w:r>
      <w:r w:rsidRPr="00E54204">
        <w:rPr>
          <w:i/>
        </w:rPr>
        <w:t>From Politics to Piety; The Emergence of Pharisaic Judaism</w:t>
      </w:r>
      <w:r w:rsidR="004B60D7" w:rsidRPr="00E54204">
        <w:t xml:space="preserve">. </w:t>
      </w:r>
    </w:p>
    <w:p w14:paraId="63E4BF0D" w14:textId="77777777" w:rsidR="002C6ACB" w:rsidRPr="00E54204" w:rsidRDefault="004B60D7" w:rsidP="004B60D7">
      <w:pPr>
        <w:spacing w:line="240" w:lineRule="auto"/>
        <w:ind w:firstLine="720"/>
      </w:pPr>
      <w:r w:rsidRPr="00E54204">
        <w:t xml:space="preserve">Englewood </w:t>
      </w:r>
      <w:r w:rsidR="002C6ACB" w:rsidRPr="00E54204">
        <w:t>Cliffs, N.J.: Prentice-Hall, 1972.</w:t>
      </w:r>
    </w:p>
    <w:p w14:paraId="5982473D" w14:textId="77777777" w:rsidR="002C6ACB" w:rsidRPr="00E54204" w:rsidRDefault="002C6ACB" w:rsidP="002C6ACB">
      <w:pPr>
        <w:spacing w:line="240" w:lineRule="auto"/>
        <w:ind w:firstLine="720"/>
      </w:pPr>
    </w:p>
    <w:p w14:paraId="75F3D01D" w14:textId="77777777" w:rsidR="004B60D7" w:rsidRPr="00E54204" w:rsidRDefault="002C6ACB" w:rsidP="004B60D7">
      <w:pPr>
        <w:spacing w:line="240" w:lineRule="auto"/>
      </w:pPr>
      <w:r w:rsidRPr="00E54204">
        <w:t xml:space="preserve">_______. </w:t>
      </w:r>
      <w:r w:rsidRPr="00E54204">
        <w:rPr>
          <w:i/>
        </w:rPr>
        <w:t>The Discourse of the Bavli: Language, Literature, and Symbolism</w:t>
      </w:r>
      <w:r w:rsidR="004B60D7" w:rsidRPr="00E54204">
        <w:t xml:space="preserve">. Atlanta: </w:t>
      </w:r>
    </w:p>
    <w:p w14:paraId="2583EA63" w14:textId="77777777" w:rsidR="002C6ACB" w:rsidRPr="00E54204" w:rsidRDefault="004B60D7" w:rsidP="004B60D7">
      <w:pPr>
        <w:spacing w:line="240" w:lineRule="auto"/>
        <w:ind w:firstLine="720"/>
      </w:pPr>
      <w:r w:rsidRPr="00E54204">
        <w:t xml:space="preserve">Scholars </w:t>
      </w:r>
      <w:r w:rsidR="002C6ACB" w:rsidRPr="00E54204">
        <w:t>Press, 1991.</w:t>
      </w:r>
    </w:p>
    <w:p w14:paraId="50C3A990" w14:textId="77777777" w:rsidR="002C6ACB" w:rsidRPr="00E54204" w:rsidRDefault="002C6ACB" w:rsidP="002C6ACB">
      <w:pPr>
        <w:spacing w:line="240" w:lineRule="auto"/>
        <w:ind w:firstLine="720"/>
      </w:pPr>
    </w:p>
    <w:p w14:paraId="7D4CCBBB" w14:textId="77777777" w:rsidR="002C6ACB" w:rsidRPr="00E54204" w:rsidRDefault="002C6ACB" w:rsidP="002C6ACB">
      <w:pPr>
        <w:spacing w:line="240" w:lineRule="auto"/>
        <w:rPr>
          <w:bCs/>
        </w:rPr>
      </w:pPr>
      <w:r w:rsidRPr="00E54204">
        <w:rPr>
          <w:bCs/>
        </w:rPr>
        <w:t>Nikolsky, Ronit, and Ṭal Ilan, eds. </w:t>
      </w:r>
      <w:r w:rsidRPr="00E54204">
        <w:rPr>
          <w:bCs/>
          <w:i/>
          <w:iCs/>
        </w:rPr>
        <w:t>Rabbinic Traditions between Palestine and Babylonia</w:t>
      </w:r>
      <w:r w:rsidRPr="00E54204">
        <w:rPr>
          <w:bCs/>
        </w:rPr>
        <w:t xml:space="preserve">. </w:t>
      </w:r>
    </w:p>
    <w:p w14:paraId="0630BDA6" w14:textId="77777777" w:rsidR="002C6ACB" w:rsidRPr="00E54204" w:rsidRDefault="002C6ACB" w:rsidP="002C6ACB">
      <w:pPr>
        <w:spacing w:line="240" w:lineRule="auto"/>
        <w:ind w:firstLine="720"/>
        <w:rPr>
          <w:bCs/>
        </w:rPr>
      </w:pPr>
      <w:r w:rsidRPr="00E54204">
        <w:rPr>
          <w:bCs/>
        </w:rPr>
        <w:t>Boston: Brill, 2014.</w:t>
      </w:r>
    </w:p>
    <w:p w14:paraId="16E82E66" w14:textId="77777777" w:rsidR="002C6ACB" w:rsidRPr="00E54204" w:rsidRDefault="002C6ACB" w:rsidP="002C6ACB">
      <w:pPr>
        <w:spacing w:line="240" w:lineRule="auto"/>
        <w:ind w:firstLine="720"/>
      </w:pPr>
    </w:p>
    <w:p w14:paraId="6448AF28" w14:textId="77777777" w:rsidR="002C6ACB" w:rsidRPr="00E54204" w:rsidRDefault="002C6ACB" w:rsidP="002C6ACB">
      <w:pPr>
        <w:spacing w:line="240" w:lineRule="auto"/>
        <w:rPr>
          <w:i/>
          <w:iCs/>
        </w:rPr>
      </w:pPr>
      <w:r w:rsidRPr="00E54204">
        <w:t>Parzen, Rabbi Herbert. 1929. “The Ruaḥ Haḳodesh in Tannaitic Literature”. </w:t>
      </w:r>
      <w:r w:rsidRPr="00E54204">
        <w:rPr>
          <w:i/>
          <w:iCs/>
        </w:rPr>
        <w:t xml:space="preserve">The Jewish </w:t>
      </w:r>
    </w:p>
    <w:p w14:paraId="537482E6" w14:textId="77777777" w:rsidR="002C6ACB" w:rsidRPr="00E54204" w:rsidRDefault="002C6ACB" w:rsidP="004B60D7">
      <w:pPr>
        <w:spacing w:line="240" w:lineRule="auto"/>
        <w:ind w:left="720"/>
      </w:pPr>
      <w:r w:rsidRPr="00E54204">
        <w:rPr>
          <w:i/>
          <w:iCs/>
        </w:rPr>
        <w:t>Quarterly Review</w:t>
      </w:r>
      <w:r w:rsidRPr="00E54204">
        <w:t> 20 (1). University of Pennsylva</w:t>
      </w:r>
      <w:r w:rsidR="004B60D7" w:rsidRPr="00E54204">
        <w:t xml:space="preserve">nia Press: 51–76. </w:t>
      </w:r>
      <w:r w:rsidRPr="00E54204">
        <w:t>doi:10.2307/1451514.</w:t>
      </w:r>
    </w:p>
    <w:p w14:paraId="37CE8493" w14:textId="77777777" w:rsidR="002C6ACB" w:rsidRPr="00E54204" w:rsidRDefault="002C6ACB" w:rsidP="002C6ACB">
      <w:pPr>
        <w:spacing w:line="240" w:lineRule="auto"/>
        <w:ind w:firstLine="720"/>
      </w:pPr>
    </w:p>
    <w:p w14:paraId="08C0DF23" w14:textId="77777777" w:rsidR="002C6ACB" w:rsidRPr="00E54204" w:rsidRDefault="002C6ACB" w:rsidP="002C6ACB">
      <w:pPr>
        <w:spacing w:line="240" w:lineRule="auto"/>
        <w:rPr>
          <w:bCs/>
        </w:rPr>
      </w:pPr>
      <w:r w:rsidRPr="00E54204">
        <w:rPr>
          <w:bCs/>
        </w:rPr>
        <w:t>Patai, Raphael. </w:t>
      </w:r>
      <w:r w:rsidRPr="00E54204">
        <w:rPr>
          <w:bCs/>
          <w:i/>
          <w:iCs/>
        </w:rPr>
        <w:t>Gates to the Old City: A Book of Jewish Legends</w:t>
      </w:r>
      <w:r w:rsidRPr="00E54204">
        <w:rPr>
          <w:bCs/>
        </w:rPr>
        <w:t xml:space="preserve">. Detroit: Wayne State </w:t>
      </w:r>
    </w:p>
    <w:p w14:paraId="6A3CEC1F" w14:textId="77777777" w:rsidR="002C6ACB" w:rsidRPr="00E54204" w:rsidRDefault="002C6ACB" w:rsidP="002C6ACB">
      <w:pPr>
        <w:spacing w:line="240" w:lineRule="auto"/>
        <w:ind w:firstLine="720"/>
        <w:rPr>
          <w:bCs/>
        </w:rPr>
      </w:pPr>
      <w:r w:rsidRPr="00E54204">
        <w:rPr>
          <w:bCs/>
        </w:rPr>
        <w:t>University Press, 1981.</w:t>
      </w:r>
    </w:p>
    <w:p w14:paraId="3E3B5A1F" w14:textId="77777777" w:rsidR="002C6ACB" w:rsidRPr="00E54204" w:rsidRDefault="002C6ACB" w:rsidP="002C6ACB">
      <w:pPr>
        <w:spacing w:line="240" w:lineRule="auto"/>
        <w:ind w:firstLine="720"/>
        <w:rPr>
          <w:bCs/>
        </w:rPr>
      </w:pPr>
    </w:p>
    <w:p w14:paraId="05FD3095" w14:textId="77777777" w:rsidR="004B60D7" w:rsidRPr="00E54204" w:rsidRDefault="002C6ACB" w:rsidP="004B60D7">
      <w:pPr>
        <w:spacing w:line="240" w:lineRule="auto"/>
        <w:rPr>
          <w:bCs/>
          <w:i/>
          <w:iCs/>
        </w:rPr>
      </w:pPr>
      <w:r w:rsidRPr="00E54204">
        <w:rPr>
          <w:bCs/>
        </w:rPr>
        <w:t>Rajak, Tessa. </w:t>
      </w:r>
      <w:r w:rsidRPr="00E54204">
        <w:rPr>
          <w:bCs/>
          <w:i/>
          <w:iCs/>
        </w:rPr>
        <w:t>The Jewish Dialogue with Greece and Rome:</w:t>
      </w:r>
      <w:r w:rsidR="004B60D7" w:rsidRPr="00E54204">
        <w:rPr>
          <w:bCs/>
          <w:i/>
          <w:iCs/>
        </w:rPr>
        <w:t xml:space="preserve"> Studies in Cultural and </w:t>
      </w:r>
    </w:p>
    <w:p w14:paraId="5D3D6505" w14:textId="77777777" w:rsidR="002C6ACB" w:rsidRPr="00E54204" w:rsidRDefault="004B60D7" w:rsidP="004B60D7">
      <w:pPr>
        <w:spacing w:line="240" w:lineRule="auto"/>
        <w:ind w:firstLine="720"/>
        <w:rPr>
          <w:bCs/>
          <w:i/>
          <w:iCs/>
        </w:rPr>
      </w:pPr>
      <w:r w:rsidRPr="00E54204">
        <w:rPr>
          <w:bCs/>
          <w:i/>
          <w:iCs/>
        </w:rPr>
        <w:t xml:space="preserve">Social </w:t>
      </w:r>
      <w:r w:rsidR="002C6ACB" w:rsidRPr="00E54204">
        <w:rPr>
          <w:bCs/>
          <w:i/>
          <w:iCs/>
        </w:rPr>
        <w:t>Interaction</w:t>
      </w:r>
      <w:r w:rsidR="002C6ACB" w:rsidRPr="00E54204">
        <w:rPr>
          <w:bCs/>
        </w:rPr>
        <w:t>. Leiden: Brill, 2002.</w:t>
      </w:r>
    </w:p>
    <w:p w14:paraId="1759670E" w14:textId="77777777" w:rsidR="002C6ACB" w:rsidRPr="00E54204" w:rsidRDefault="002C6ACB" w:rsidP="002C6ACB">
      <w:pPr>
        <w:spacing w:line="240" w:lineRule="auto"/>
        <w:ind w:firstLine="720"/>
        <w:rPr>
          <w:bCs/>
        </w:rPr>
      </w:pPr>
    </w:p>
    <w:p w14:paraId="5BD34FB0" w14:textId="77777777" w:rsidR="004B60D7" w:rsidRPr="00E54204" w:rsidRDefault="002C6ACB" w:rsidP="004B60D7">
      <w:pPr>
        <w:spacing w:line="240" w:lineRule="auto"/>
        <w:rPr>
          <w:bCs/>
          <w:i/>
          <w:iCs/>
        </w:rPr>
      </w:pPr>
      <w:r w:rsidRPr="00E54204">
        <w:rPr>
          <w:bCs/>
        </w:rPr>
        <w:t>Reland, Adrien, Tomas F. Arteta, F. Bleiswyk, and Johan Broedelet.</w:t>
      </w:r>
      <w:r w:rsidRPr="00E54204">
        <w:rPr>
          <w:bCs/>
          <w:i/>
          <w:iCs/>
        </w:rPr>
        <w:t xml:space="preserve">Antiquitates Sacrae </w:t>
      </w:r>
    </w:p>
    <w:p w14:paraId="54A4F757" w14:textId="77777777" w:rsidR="002C6ACB" w:rsidRPr="00E54204" w:rsidRDefault="002C6ACB" w:rsidP="004B60D7">
      <w:pPr>
        <w:spacing w:line="240" w:lineRule="auto"/>
        <w:ind w:left="720"/>
        <w:rPr>
          <w:bCs/>
          <w:i/>
          <w:iCs/>
        </w:rPr>
      </w:pPr>
      <w:r w:rsidRPr="00E54204">
        <w:rPr>
          <w:bCs/>
          <w:i/>
          <w:iCs/>
        </w:rPr>
        <w:t>Veterum Hebraecorum Breviter Delineatae Ab Hadriano Renando</w:t>
      </w:r>
      <w:r w:rsidRPr="00E54204">
        <w:rPr>
          <w:bCs/>
        </w:rPr>
        <w:t>. 4th ed. Trajecti Ad Rhenum: Broedelet, 1741.</w:t>
      </w:r>
    </w:p>
    <w:p w14:paraId="57B1ADBB" w14:textId="77777777" w:rsidR="002C6ACB" w:rsidRPr="00E54204" w:rsidRDefault="002C6ACB" w:rsidP="002C6ACB">
      <w:pPr>
        <w:spacing w:line="240" w:lineRule="auto"/>
        <w:ind w:left="720"/>
      </w:pPr>
    </w:p>
    <w:p w14:paraId="5662B2B4" w14:textId="77777777" w:rsidR="004B60D7" w:rsidRPr="00E54204" w:rsidRDefault="002C6ACB" w:rsidP="004B60D7">
      <w:pPr>
        <w:spacing w:line="240" w:lineRule="auto"/>
      </w:pPr>
      <w:r w:rsidRPr="00E54204">
        <w:t xml:space="preserve">Rothkoff, Aaron. "Bat Kol." In </w:t>
      </w:r>
      <w:r w:rsidRPr="00E54204">
        <w:rPr>
          <w:i/>
          <w:iCs/>
        </w:rPr>
        <w:t>Encyclopaedia Judaica</w:t>
      </w:r>
      <w:r w:rsidRPr="00E54204">
        <w:t>, edited</w:t>
      </w:r>
      <w:r w:rsidR="004B60D7" w:rsidRPr="00E54204">
        <w:t xml:space="preserve"> by Berenbaum, Michael </w:t>
      </w:r>
    </w:p>
    <w:p w14:paraId="236E8014" w14:textId="77777777" w:rsidR="004B60D7" w:rsidRPr="00E54204" w:rsidRDefault="004B60D7" w:rsidP="004B60D7">
      <w:pPr>
        <w:spacing w:line="240" w:lineRule="auto"/>
        <w:ind w:firstLine="720"/>
      </w:pPr>
      <w:r w:rsidRPr="00E54204">
        <w:t xml:space="preserve">and Fred </w:t>
      </w:r>
      <w:r w:rsidR="002C6ACB" w:rsidRPr="00E54204">
        <w:t>Skolnik. 2nd ed. ed. Vol. 3, 213. De</w:t>
      </w:r>
      <w:r w:rsidRPr="00E54204">
        <w:t xml:space="preserve">troit: Macmillan Reference USA, </w:t>
      </w:r>
    </w:p>
    <w:p w14:paraId="61344D30" w14:textId="77777777" w:rsidR="004B60D7" w:rsidRPr="00E54204" w:rsidRDefault="002C6ACB" w:rsidP="004B60D7">
      <w:pPr>
        <w:spacing w:line="240" w:lineRule="auto"/>
        <w:ind w:firstLine="720"/>
      </w:pPr>
      <w:r w:rsidRPr="00E54204">
        <w:t>2007.</w:t>
      </w:r>
    </w:p>
    <w:p w14:paraId="2E82270B" w14:textId="77777777" w:rsidR="002C6ACB" w:rsidRPr="00E54204" w:rsidRDefault="002C6ACB" w:rsidP="002C6ACB">
      <w:pPr>
        <w:spacing w:line="240" w:lineRule="auto"/>
        <w:ind w:firstLine="720"/>
      </w:pPr>
      <w:r w:rsidRPr="00E54204">
        <w:t xml:space="preserve"> </w:t>
      </w:r>
    </w:p>
    <w:p w14:paraId="5220AD75" w14:textId="77777777" w:rsidR="004B60D7" w:rsidRPr="00E54204" w:rsidRDefault="002C6ACB" w:rsidP="004B60D7">
      <w:pPr>
        <w:spacing w:line="240" w:lineRule="auto"/>
        <w:rPr>
          <w:bCs/>
        </w:rPr>
      </w:pPr>
      <w:r w:rsidRPr="00E54204">
        <w:rPr>
          <w:bCs/>
        </w:rPr>
        <w:t>Rubenstein, Jeffrey. </w:t>
      </w:r>
      <w:r w:rsidRPr="00E54204">
        <w:rPr>
          <w:bCs/>
          <w:i/>
          <w:iCs/>
        </w:rPr>
        <w:t>Talmudic Stories: Narrative Art, Composition, and Culture</w:t>
      </w:r>
      <w:r w:rsidR="004B60D7" w:rsidRPr="00E54204">
        <w:rPr>
          <w:bCs/>
        </w:rPr>
        <w:t xml:space="preserve">. </w:t>
      </w:r>
    </w:p>
    <w:p w14:paraId="4AAB40E3" w14:textId="77777777" w:rsidR="002C6ACB" w:rsidRPr="00E54204" w:rsidRDefault="004B60D7" w:rsidP="004B60D7">
      <w:pPr>
        <w:spacing w:line="240" w:lineRule="auto"/>
        <w:ind w:firstLine="720"/>
        <w:rPr>
          <w:bCs/>
        </w:rPr>
      </w:pPr>
      <w:r w:rsidRPr="00E54204">
        <w:rPr>
          <w:bCs/>
        </w:rPr>
        <w:t xml:space="preserve">Baltimore: </w:t>
      </w:r>
      <w:r w:rsidR="002C6ACB" w:rsidRPr="00E54204">
        <w:rPr>
          <w:bCs/>
        </w:rPr>
        <w:t>The Johns Hopkins University Press, 1999.</w:t>
      </w:r>
    </w:p>
    <w:p w14:paraId="26E52713" w14:textId="77777777" w:rsidR="002C6ACB" w:rsidRPr="00E54204" w:rsidRDefault="002C6ACB" w:rsidP="002C6ACB">
      <w:pPr>
        <w:spacing w:line="240" w:lineRule="auto"/>
        <w:ind w:firstLine="720"/>
        <w:rPr>
          <w:bCs/>
        </w:rPr>
      </w:pPr>
    </w:p>
    <w:p w14:paraId="4018B8E1" w14:textId="77777777" w:rsidR="004B60D7" w:rsidRPr="00E54204" w:rsidRDefault="002C6ACB" w:rsidP="004B60D7">
      <w:pPr>
        <w:spacing w:line="240" w:lineRule="auto"/>
        <w:rPr>
          <w:bCs/>
        </w:rPr>
      </w:pPr>
      <w:r w:rsidRPr="00E54204">
        <w:rPr>
          <w:bCs/>
        </w:rPr>
        <w:t xml:space="preserve">Russell, D.S. </w:t>
      </w:r>
      <w:r w:rsidRPr="00E54204">
        <w:rPr>
          <w:bCs/>
          <w:i/>
        </w:rPr>
        <w:t>The Method and Message of Jewish Apocalyptic: 200 BC-AD 100</w:t>
      </w:r>
      <w:r w:rsidR="004B60D7" w:rsidRPr="00E54204">
        <w:rPr>
          <w:bCs/>
        </w:rPr>
        <w:t xml:space="preserve">. </w:t>
      </w:r>
    </w:p>
    <w:p w14:paraId="0F795354" w14:textId="77777777" w:rsidR="002C6ACB" w:rsidRPr="00E54204" w:rsidRDefault="004B60D7" w:rsidP="004B60D7">
      <w:pPr>
        <w:spacing w:line="240" w:lineRule="auto"/>
        <w:ind w:firstLine="720"/>
        <w:rPr>
          <w:bCs/>
        </w:rPr>
      </w:pPr>
      <w:r w:rsidRPr="00E54204">
        <w:rPr>
          <w:bCs/>
        </w:rPr>
        <w:t xml:space="preserve">Philadelphia: </w:t>
      </w:r>
      <w:r w:rsidR="002C6ACB" w:rsidRPr="00E54204">
        <w:rPr>
          <w:bCs/>
        </w:rPr>
        <w:t>The Westminster Press, 1964.</w:t>
      </w:r>
    </w:p>
    <w:p w14:paraId="3C7E6AD9" w14:textId="77777777" w:rsidR="002C6ACB" w:rsidRPr="00E54204" w:rsidRDefault="002C6ACB" w:rsidP="002C6ACB">
      <w:pPr>
        <w:spacing w:line="240" w:lineRule="auto"/>
        <w:ind w:firstLine="720"/>
        <w:rPr>
          <w:bCs/>
        </w:rPr>
      </w:pPr>
    </w:p>
    <w:p w14:paraId="58D5DC8C" w14:textId="77777777" w:rsidR="002C6ACB" w:rsidRPr="00E54204" w:rsidRDefault="002C6ACB" w:rsidP="002C6ACB">
      <w:pPr>
        <w:spacing w:line="240" w:lineRule="auto"/>
        <w:rPr>
          <w:bCs/>
        </w:rPr>
      </w:pPr>
      <w:r w:rsidRPr="00E54204">
        <w:rPr>
          <w:rFonts w:hint="eastAsia"/>
          <w:bCs/>
        </w:rPr>
        <w:t xml:space="preserve">Scheidt, Balthaser, Johann Andreas Danz, Jacob Rhenferd, and Johann Gerhard </w:t>
      </w:r>
    </w:p>
    <w:p w14:paraId="1F7ADF45" w14:textId="77777777" w:rsidR="002C6ACB" w:rsidRPr="00E54204" w:rsidRDefault="002C6ACB" w:rsidP="002C6ACB">
      <w:pPr>
        <w:spacing w:line="240" w:lineRule="auto"/>
        <w:ind w:left="720"/>
        <w:rPr>
          <w:bCs/>
        </w:rPr>
      </w:pPr>
      <w:r w:rsidRPr="00E54204">
        <w:rPr>
          <w:rFonts w:hint="eastAsia"/>
          <w:bCs/>
        </w:rPr>
        <w:t>Meuschen. </w:t>
      </w:r>
      <w:r w:rsidRPr="00E54204">
        <w:rPr>
          <w:rFonts w:hint="eastAsia"/>
          <w:bCs/>
          <w:i/>
          <w:iCs/>
        </w:rPr>
        <w:t>Novum Testamentum ex Talmude et antiquitatibus Hebræorum illustratum</w:t>
      </w:r>
      <w:r w:rsidRPr="00E54204">
        <w:rPr>
          <w:rFonts w:hint="eastAsia"/>
          <w:bCs/>
        </w:rPr>
        <w:t>. Lipsiæ: apud hær. J.F. Braunii, 1736.</w:t>
      </w:r>
    </w:p>
    <w:p w14:paraId="47D42FEF" w14:textId="77777777" w:rsidR="002C6ACB" w:rsidRPr="00E54204" w:rsidRDefault="002C6ACB" w:rsidP="002C6ACB">
      <w:pPr>
        <w:spacing w:line="240" w:lineRule="auto"/>
        <w:ind w:left="720"/>
        <w:rPr>
          <w:bCs/>
        </w:rPr>
      </w:pPr>
    </w:p>
    <w:p w14:paraId="323FC3CF" w14:textId="77777777" w:rsidR="004B60D7" w:rsidRPr="00E54204" w:rsidRDefault="002C6ACB" w:rsidP="004B60D7">
      <w:pPr>
        <w:spacing w:line="240" w:lineRule="auto"/>
        <w:rPr>
          <w:bCs/>
          <w:i/>
          <w:iCs/>
        </w:rPr>
      </w:pPr>
      <w:r w:rsidRPr="00E54204">
        <w:rPr>
          <w:bCs/>
        </w:rPr>
        <w:t>Schiffman, Lawrence H. </w:t>
      </w:r>
      <w:r w:rsidRPr="00E54204">
        <w:rPr>
          <w:bCs/>
          <w:i/>
          <w:iCs/>
        </w:rPr>
        <w:t xml:space="preserve">From Text to Tradition: A History of Second Temple and </w:t>
      </w:r>
    </w:p>
    <w:p w14:paraId="5347A9D3" w14:textId="77777777" w:rsidR="002C6ACB" w:rsidRPr="00E54204" w:rsidRDefault="002C6ACB" w:rsidP="004B60D7">
      <w:pPr>
        <w:spacing w:line="240" w:lineRule="auto"/>
        <w:ind w:firstLine="720"/>
        <w:rPr>
          <w:bCs/>
          <w:i/>
          <w:iCs/>
        </w:rPr>
      </w:pPr>
      <w:r w:rsidRPr="00E54204">
        <w:rPr>
          <w:bCs/>
          <w:i/>
          <w:iCs/>
        </w:rPr>
        <w:t>Rabbinic Judaism</w:t>
      </w:r>
      <w:r w:rsidRPr="00E54204">
        <w:rPr>
          <w:bCs/>
        </w:rPr>
        <w:t>. Hoboken, NJ: Ktav Pub. House, 1991.</w:t>
      </w:r>
    </w:p>
    <w:p w14:paraId="7F4AE462" w14:textId="77777777" w:rsidR="008E1AC3" w:rsidRPr="00E54204" w:rsidRDefault="008E1AC3" w:rsidP="002C6ACB">
      <w:pPr>
        <w:spacing w:line="240" w:lineRule="auto"/>
        <w:rPr>
          <w:bCs/>
        </w:rPr>
      </w:pPr>
    </w:p>
    <w:p w14:paraId="7728708B" w14:textId="77777777" w:rsidR="002C6ACB" w:rsidRPr="00E54204" w:rsidRDefault="002C6ACB" w:rsidP="002C6ACB">
      <w:pPr>
        <w:spacing w:line="240" w:lineRule="auto"/>
        <w:rPr>
          <w:bCs/>
          <w:i/>
          <w:iCs/>
        </w:rPr>
      </w:pPr>
      <w:r w:rsidRPr="00E54204">
        <w:rPr>
          <w:bCs/>
        </w:rPr>
        <w:t>_______. </w:t>
      </w:r>
      <w:r w:rsidRPr="00E54204">
        <w:rPr>
          <w:bCs/>
          <w:i/>
          <w:iCs/>
        </w:rPr>
        <w:t xml:space="preserve">Reclaiming the Dead Sea Scrolls: The History of Judaism, the </w:t>
      </w:r>
    </w:p>
    <w:p w14:paraId="657288E4" w14:textId="77777777" w:rsidR="002C6ACB" w:rsidRPr="00E54204" w:rsidRDefault="002C6ACB" w:rsidP="002C6ACB">
      <w:pPr>
        <w:spacing w:line="240" w:lineRule="auto"/>
        <w:ind w:firstLine="720"/>
        <w:rPr>
          <w:bCs/>
        </w:rPr>
      </w:pPr>
      <w:r w:rsidRPr="00E54204">
        <w:rPr>
          <w:bCs/>
          <w:i/>
          <w:iCs/>
        </w:rPr>
        <w:t>Background of Christianity, the Lost Library of Qumran</w:t>
      </w:r>
      <w:r w:rsidRPr="00E54204">
        <w:rPr>
          <w:bCs/>
        </w:rPr>
        <w:t xml:space="preserve">. Philadelphia: Jewish </w:t>
      </w:r>
    </w:p>
    <w:p w14:paraId="75FA9187" w14:textId="77777777" w:rsidR="002C6ACB" w:rsidRPr="00E54204" w:rsidRDefault="002C6ACB" w:rsidP="002C6ACB">
      <w:pPr>
        <w:spacing w:line="240" w:lineRule="auto"/>
        <w:ind w:firstLine="720"/>
        <w:rPr>
          <w:bCs/>
        </w:rPr>
      </w:pPr>
      <w:r w:rsidRPr="00E54204">
        <w:rPr>
          <w:bCs/>
        </w:rPr>
        <w:t>Publication Society, 1994.</w:t>
      </w:r>
    </w:p>
    <w:p w14:paraId="28ADEE2B" w14:textId="77777777" w:rsidR="002C6ACB" w:rsidRPr="00E54204" w:rsidRDefault="002C6ACB" w:rsidP="002C6ACB">
      <w:pPr>
        <w:spacing w:line="240" w:lineRule="auto"/>
      </w:pPr>
    </w:p>
    <w:p w14:paraId="3396A07E" w14:textId="77777777" w:rsidR="004B60D7" w:rsidRPr="00E54204" w:rsidRDefault="002C6ACB" w:rsidP="004B60D7">
      <w:pPr>
        <w:spacing w:line="240" w:lineRule="auto"/>
      </w:pPr>
      <w:r w:rsidRPr="00E54204">
        <w:t xml:space="preserve">Schwartz, Howard. </w:t>
      </w:r>
      <w:r w:rsidRPr="00E54204">
        <w:rPr>
          <w:i/>
        </w:rPr>
        <w:t>Tree of Souls: The Mythology of Judaism</w:t>
      </w:r>
      <w:r w:rsidRPr="00E54204">
        <w:t>. Ox</w:t>
      </w:r>
      <w:r w:rsidR="004B60D7" w:rsidRPr="00E54204">
        <w:t xml:space="preserve">ford: Oxford University </w:t>
      </w:r>
    </w:p>
    <w:p w14:paraId="3497D672" w14:textId="77777777" w:rsidR="002C6ACB" w:rsidRPr="00E54204" w:rsidRDefault="004B60D7" w:rsidP="004B60D7">
      <w:pPr>
        <w:spacing w:line="240" w:lineRule="auto"/>
        <w:ind w:firstLine="720"/>
      </w:pPr>
      <w:r w:rsidRPr="00E54204">
        <w:t xml:space="preserve">Press, </w:t>
      </w:r>
      <w:r w:rsidR="002C6ACB" w:rsidRPr="00E54204">
        <w:t>2004.</w:t>
      </w:r>
    </w:p>
    <w:p w14:paraId="400A90A1" w14:textId="77777777" w:rsidR="002C6ACB" w:rsidRPr="00E54204" w:rsidRDefault="002C6ACB" w:rsidP="002C6ACB">
      <w:pPr>
        <w:spacing w:line="240" w:lineRule="auto"/>
        <w:ind w:firstLine="720"/>
      </w:pPr>
    </w:p>
    <w:p w14:paraId="705B59AF" w14:textId="77777777" w:rsidR="002C6ACB" w:rsidRPr="00E54204" w:rsidRDefault="002C6ACB" w:rsidP="002C6ACB">
      <w:pPr>
        <w:spacing w:line="240" w:lineRule="auto"/>
        <w:rPr>
          <w:i/>
        </w:rPr>
      </w:pPr>
      <w:r w:rsidRPr="00E54204">
        <w:t xml:space="preserve">Sherwin, Bryan L. </w:t>
      </w:r>
      <w:r w:rsidRPr="00E54204">
        <w:rPr>
          <w:i/>
        </w:rPr>
        <w:t xml:space="preserve">Workers of Wonders: A Model for Effective Religious Leadership from </w:t>
      </w:r>
    </w:p>
    <w:p w14:paraId="7B8C8FAC" w14:textId="77777777" w:rsidR="002C6ACB" w:rsidRPr="00E54204" w:rsidRDefault="002C6ACB" w:rsidP="002C6ACB">
      <w:pPr>
        <w:spacing w:line="240" w:lineRule="auto"/>
        <w:ind w:firstLine="720"/>
      </w:pPr>
      <w:r w:rsidRPr="00E54204">
        <w:rPr>
          <w:i/>
        </w:rPr>
        <w:t>Scripture to Today</w:t>
      </w:r>
      <w:r w:rsidRPr="00E54204">
        <w:t>. Lanham, MD: Rowman &amp; Littlefield Publishers, 2004.</w:t>
      </w:r>
    </w:p>
    <w:p w14:paraId="5A70B87D" w14:textId="77777777" w:rsidR="002C6ACB" w:rsidRPr="00E54204" w:rsidRDefault="002C6ACB" w:rsidP="002C6ACB">
      <w:pPr>
        <w:spacing w:line="240" w:lineRule="auto"/>
        <w:ind w:firstLine="720"/>
      </w:pPr>
    </w:p>
    <w:p w14:paraId="316268C1" w14:textId="77777777" w:rsidR="004B60D7" w:rsidRPr="00E54204" w:rsidRDefault="002C6ACB" w:rsidP="004B60D7">
      <w:pPr>
        <w:spacing w:line="240" w:lineRule="auto"/>
        <w:rPr>
          <w:i/>
          <w:iCs/>
        </w:rPr>
      </w:pPr>
      <w:r w:rsidRPr="00E54204">
        <w:rPr>
          <w:rFonts w:hint="eastAsia"/>
        </w:rPr>
        <w:t>Singer, Isidore, and Cyrus Adler. </w:t>
      </w:r>
      <w:r w:rsidRPr="00E54204">
        <w:rPr>
          <w:rFonts w:hint="eastAsia"/>
          <w:i/>
          <w:iCs/>
        </w:rPr>
        <w:t>The Jewish Encyclopedia: A Des</w:t>
      </w:r>
      <w:r w:rsidR="004B60D7" w:rsidRPr="00E54204">
        <w:rPr>
          <w:rFonts w:hint="eastAsia"/>
          <w:i/>
          <w:iCs/>
        </w:rPr>
        <w:t xml:space="preserve">criptive Record of the </w:t>
      </w:r>
    </w:p>
    <w:p w14:paraId="275989AF" w14:textId="77777777" w:rsidR="002C6ACB" w:rsidRPr="00E54204" w:rsidRDefault="004B60D7" w:rsidP="004B60D7">
      <w:pPr>
        <w:spacing w:line="240" w:lineRule="auto"/>
        <w:ind w:left="720"/>
        <w:rPr>
          <w:i/>
          <w:iCs/>
        </w:rPr>
      </w:pPr>
      <w:r w:rsidRPr="00E54204">
        <w:rPr>
          <w:rFonts w:hint="eastAsia"/>
          <w:i/>
          <w:iCs/>
        </w:rPr>
        <w:t xml:space="preserve">History, </w:t>
      </w:r>
      <w:r w:rsidR="002C6ACB" w:rsidRPr="00E54204">
        <w:rPr>
          <w:rFonts w:hint="eastAsia"/>
          <w:i/>
          <w:iCs/>
        </w:rPr>
        <w:t>Religion, Literature, and Customs of the Jewish People from the Earliest Times to the Present Day</w:t>
      </w:r>
      <w:r w:rsidR="002C6ACB" w:rsidRPr="00E54204">
        <w:rPr>
          <w:rFonts w:hint="eastAsia"/>
        </w:rPr>
        <w:t>.</w:t>
      </w:r>
      <w:r w:rsidR="002C6ACB" w:rsidRPr="00E54204">
        <w:t xml:space="preserve"> Vol. II.</w:t>
      </w:r>
      <w:r w:rsidR="002C6ACB" w:rsidRPr="00E54204">
        <w:rPr>
          <w:rFonts w:hint="eastAsia"/>
        </w:rPr>
        <w:t xml:space="preserve"> New York: Funk &amp; Wagnalls Company, 1901.</w:t>
      </w:r>
    </w:p>
    <w:p w14:paraId="3103C2AF" w14:textId="77777777" w:rsidR="002C6ACB" w:rsidRPr="00E54204" w:rsidRDefault="002C6ACB" w:rsidP="002C6ACB">
      <w:pPr>
        <w:spacing w:line="240" w:lineRule="auto"/>
      </w:pPr>
    </w:p>
    <w:p w14:paraId="785091AE" w14:textId="77777777" w:rsidR="004B60D7" w:rsidRPr="00E54204" w:rsidRDefault="002C6ACB" w:rsidP="004B60D7">
      <w:pPr>
        <w:spacing w:line="240" w:lineRule="auto"/>
        <w:rPr>
          <w:bCs/>
          <w:i/>
          <w:iCs/>
        </w:rPr>
      </w:pPr>
      <w:r w:rsidRPr="00E54204">
        <w:rPr>
          <w:bCs/>
        </w:rPr>
        <w:t>Sperling, David. "Akkadian Egerru and Hebrew Bt Qwl." </w:t>
      </w:r>
      <w:r w:rsidRPr="00E54204">
        <w:rPr>
          <w:bCs/>
          <w:i/>
          <w:iCs/>
        </w:rPr>
        <w:t xml:space="preserve">Journal of Near Eastern </w:t>
      </w:r>
    </w:p>
    <w:p w14:paraId="45F1C5CF" w14:textId="77777777" w:rsidR="002C6ACB" w:rsidRPr="00E54204" w:rsidRDefault="002C6ACB" w:rsidP="004B60D7">
      <w:pPr>
        <w:spacing w:line="240" w:lineRule="auto"/>
        <w:ind w:left="720"/>
        <w:rPr>
          <w:bCs/>
        </w:rPr>
      </w:pPr>
      <w:r w:rsidRPr="00E54204">
        <w:rPr>
          <w:bCs/>
          <w:i/>
          <w:iCs/>
        </w:rPr>
        <w:t>Studies</w:t>
      </w:r>
      <w:r w:rsidR="004B60D7" w:rsidRPr="00E54204">
        <w:rPr>
          <w:bCs/>
        </w:rPr>
        <w:t xml:space="preserve"> 4 </w:t>
      </w:r>
      <w:r w:rsidRPr="00E54204">
        <w:rPr>
          <w:bCs/>
        </w:rPr>
        <w:t xml:space="preserve">(1972): 63-74. </w:t>
      </w:r>
      <w:r w:rsidR="004B60D7" w:rsidRPr="00E54204">
        <w:rPr>
          <w:bCs/>
        </w:rPr>
        <w:t>http://www.jtsa.edu/Documents/pagedocs/JANES/1972</w:t>
      </w:r>
      <w:r w:rsidRPr="00E54204">
        <w:rPr>
          <w:bCs/>
        </w:rPr>
        <w:t xml:space="preserve"> 4/Sperling4.pdf.</w:t>
      </w:r>
    </w:p>
    <w:p w14:paraId="673E6AF1" w14:textId="77777777" w:rsidR="002C6ACB" w:rsidRPr="00E54204" w:rsidRDefault="002C6ACB" w:rsidP="002C6ACB">
      <w:pPr>
        <w:spacing w:line="240" w:lineRule="auto"/>
        <w:ind w:firstLine="720"/>
      </w:pPr>
    </w:p>
    <w:p w14:paraId="60998A19" w14:textId="77777777" w:rsidR="002C6ACB" w:rsidRPr="00E54204" w:rsidRDefault="002C6ACB" w:rsidP="002C6ACB">
      <w:pPr>
        <w:spacing w:line="240" w:lineRule="auto"/>
        <w:rPr>
          <w:rFonts w:cs="Times New Roman"/>
          <w:bCs/>
          <w:color w:val="000000"/>
          <w:szCs w:val="18"/>
        </w:rPr>
      </w:pPr>
      <w:r w:rsidRPr="00E54204">
        <w:rPr>
          <w:rFonts w:cs="Times New Roman"/>
          <w:bCs/>
          <w:color w:val="000000"/>
          <w:szCs w:val="18"/>
        </w:rPr>
        <w:t>Steinsaltz, Adin. </w:t>
      </w:r>
      <w:r w:rsidRPr="00E54204">
        <w:rPr>
          <w:rFonts w:cs="Times New Roman"/>
          <w:bCs/>
          <w:i/>
          <w:iCs/>
          <w:color w:val="000000"/>
          <w:szCs w:val="18"/>
        </w:rPr>
        <w:t>Talmudic Images</w:t>
      </w:r>
      <w:r w:rsidRPr="00E54204">
        <w:rPr>
          <w:rFonts w:cs="Times New Roman"/>
          <w:bCs/>
          <w:color w:val="000000"/>
          <w:szCs w:val="18"/>
        </w:rPr>
        <w:t>. Northvale, NJ: Jason Aronson, 1997.</w:t>
      </w:r>
    </w:p>
    <w:p w14:paraId="7D53C628" w14:textId="77777777" w:rsidR="002C6ACB" w:rsidRPr="00E54204" w:rsidRDefault="002C6ACB" w:rsidP="002C6ACB">
      <w:pPr>
        <w:spacing w:line="240" w:lineRule="auto"/>
        <w:rPr>
          <w:rFonts w:cs="Times New Roman"/>
          <w:bCs/>
          <w:color w:val="000000"/>
          <w:szCs w:val="18"/>
        </w:rPr>
      </w:pPr>
    </w:p>
    <w:p w14:paraId="11E5EE03" w14:textId="77777777" w:rsidR="002C6ACB" w:rsidRPr="00E54204" w:rsidRDefault="002C6ACB" w:rsidP="002C6ACB">
      <w:pPr>
        <w:spacing w:line="240" w:lineRule="auto"/>
        <w:rPr>
          <w:rFonts w:cs="Times New Roman"/>
          <w:color w:val="000000"/>
          <w:szCs w:val="18"/>
        </w:rPr>
      </w:pPr>
      <w:r w:rsidRPr="00E54204">
        <w:rPr>
          <w:rFonts w:cs="Times New Roman"/>
          <w:color w:val="000000"/>
          <w:szCs w:val="18"/>
        </w:rPr>
        <w:softHyphen/>
        <w:t>_______.</w:t>
      </w:r>
      <w:r w:rsidRPr="00E54204">
        <w:rPr>
          <w:rFonts w:cs="Times New Roman" w:hint="eastAsia"/>
          <w:i/>
          <w:iCs/>
          <w:color w:val="000000"/>
          <w:szCs w:val="18"/>
        </w:rPr>
        <w:t>The Essential Talmud</w:t>
      </w:r>
      <w:r w:rsidRPr="00E54204">
        <w:rPr>
          <w:rFonts w:cs="Times New Roman" w:hint="eastAsia"/>
          <w:color w:val="000000"/>
          <w:szCs w:val="18"/>
        </w:rPr>
        <w:t xml:space="preserve">. New York: Basic Books, a member of the Perseus Books </w:t>
      </w:r>
    </w:p>
    <w:p w14:paraId="3CE897C5" w14:textId="77777777" w:rsidR="002C6ACB" w:rsidRPr="00E54204" w:rsidRDefault="002C6ACB" w:rsidP="002C6ACB">
      <w:pPr>
        <w:spacing w:line="240" w:lineRule="auto"/>
        <w:ind w:firstLine="720"/>
        <w:rPr>
          <w:rFonts w:cs="Times New Roman"/>
          <w:color w:val="000000"/>
          <w:szCs w:val="18"/>
        </w:rPr>
      </w:pPr>
      <w:r w:rsidRPr="00E54204">
        <w:rPr>
          <w:rFonts w:cs="Times New Roman" w:hint="eastAsia"/>
          <w:color w:val="000000"/>
          <w:szCs w:val="18"/>
        </w:rPr>
        <w:t>Group, 2006.</w:t>
      </w:r>
    </w:p>
    <w:p w14:paraId="421340A0" w14:textId="77777777" w:rsidR="002C6ACB" w:rsidRPr="00E54204" w:rsidRDefault="002C6ACB" w:rsidP="002C6ACB">
      <w:pPr>
        <w:spacing w:line="240" w:lineRule="auto"/>
        <w:ind w:firstLine="720"/>
        <w:rPr>
          <w:rFonts w:cs="Times New Roman"/>
          <w:color w:val="000000"/>
          <w:szCs w:val="18"/>
        </w:rPr>
      </w:pPr>
    </w:p>
    <w:p w14:paraId="77A30EB7" w14:textId="77777777" w:rsidR="002C6ACB" w:rsidRPr="00E54204" w:rsidRDefault="002C6ACB" w:rsidP="002C6ACB">
      <w:pPr>
        <w:spacing w:line="240" w:lineRule="auto"/>
        <w:rPr>
          <w:rFonts w:cs="Times New Roman"/>
          <w:bCs/>
          <w:color w:val="000000"/>
          <w:szCs w:val="18"/>
        </w:rPr>
      </w:pPr>
      <w:r w:rsidRPr="00E54204">
        <w:rPr>
          <w:rFonts w:cs="Times New Roman"/>
          <w:bCs/>
          <w:color w:val="000000"/>
          <w:szCs w:val="18"/>
        </w:rPr>
        <w:t>Stoneman, Richard. </w:t>
      </w:r>
      <w:r w:rsidRPr="00E54204">
        <w:rPr>
          <w:rFonts w:cs="Times New Roman"/>
          <w:bCs/>
          <w:i/>
          <w:iCs/>
          <w:color w:val="000000"/>
          <w:szCs w:val="18"/>
        </w:rPr>
        <w:t>The Ancient Oracles: Making the Gods Speak</w:t>
      </w:r>
      <w:r w:rsidRPr="00E54204">
        <w:rPr>
          <w:rFonts w:cs="Times New Roman"/>
          <w:bCs/>
          <w:color w:val="000000"/>
          <w:szCs w:val="18"/>
        </w:rPr>
        <w:t xml:space="preserve">. New Haven, CT: Yale </w:t>
      </w:r>
    </w:p>
    <w:p w14:paraId="45788575" w14:textId="77777777" w:rsidR="002C6ACB" w:rsidRPr="00E54204" w:rsidRDefault="002C6ACB" w:rsidP="002C6ACB">
      <w:pPr>
        <w:spacing w:line="240" w:lineRule="auto"/>
        <w:ind w:firstLine="720"/>
        <w:rPr>
          <w:rFonts w:cs="Times New Roman"/>
          <w:bCs/>
          <w:color w:val="000000"/>
          <w:szCs w:val="18"/>
        </w:rPr>
      </w:pPr>
      <w:r w:rsidRPr="00E54204">
        <w:rPr>
          <w:rFonts w:cs="Times New Roman"/>
          <w:bCs/>
          <w:color w:val="000000"/>
          <w:szCs w:val="18"/>
        </w:rPr>
        <w:t>University Press, 2011.</w:t>
      </w:r>
    </w:p>
    <w:p w14:paraId="3BA4A076" w14:textId="77777777" w:rsidR="002C6ACB" w:rsidRPr="00E54204" w:rsidRDefault="002C6ACB" w:rsidP="002C6ACB">
      <w:pPr>
        <w:spacing w:line="240" w:lineRule="auto"/>
        <w:ind w:firstLine="720"/>
        <w:rPr>
          <w:rFonts w:cs="Times New Roman"/>
          <w:bCs/>
          <w:color w:val="000000"/>
          <w:szCs w:val="18"/>
        </w:rPr>
      </w:pPr>
    </w:p>
    <w:p w14:paraId="35ACA93B" w14:textId="77777777" w:rsidR="004B60D7" w:rsidRPr="00E54204" w:rsidRDefault="002C6ACB" w:rsidP="004B60D7">
      <w:pPr>
        <w:spacing w:line="240" w:lineRule="auto"/>
        <w:rPr>
          <w:rFonts w:cs="Times New Roman"/>
          <w:bCs/>
          <w:i/>
          <w:iCs/>
          <w:color w:val="000000"/>
          <w:szCs w:val="18"/>
        </w:rPr>
      </w:pPr>
      <w:r w:rsidRPr="00E54204">
        <w:rPr>
          <w:rFonts w:cs="Times New Roman"/>
          <w:bCs/>
          <w:i/>
          <w:iCs/>
          <w:color w:val="000000"/>
          <w:szCs w:val="18"/>
        </w:rPr>
        <w:t>Torah, Neviʼim, Ketuvim Ṿeha-Berit Ha-Ḥadashah: ʻIvrit Ṿ</w:t>
      </w:r>
      <w:r w:rsidR="004B60D7" w:rsidRPr="00E54204">
        <w:rPr>
          <w:rFonts w:cs="Times New Roman"/>
          <w:bCs/>
          <w:i/>
          <w:iCs/>
          <w:color w:val="000000"/>
          <w:szCs w:val="18"/>
        </w:rPr>
        <w:t xml:space="preserve">e-Anglit = The Holy </w:t>
      </w:r>
    </w:p>
    <w:p w14:paraId="3BE51885" w14:textId="77777777" w:rsidR="002C6ACB" w:rsidRPr="00E54204" w:rsidRDefault="004B60D7" w:rsidP="004B60D7">
      <w:pPr>
        <w:spacing w:line="240" w:lineRule="auto"/>
        <w:ind w:firstLine="720"/>
        <w:rPr>
          <w:rFonts w:cs="Times New Roman"/>
          <w:bCs/>
          <w:color w:val="000000"/>
          <w:szCs w:val="18"/>
        </w:rPr>
      </w:pPr>
      <w:r w:rsidRPr="00E54204">
        <w:rPr>
          <w:rFonts w:cs="Times New Roman"/>
          <w:bCs/>
          <w:i/>
          <w:iCs/>
          <w:color w:val="000000"/>
          <w:szCs w:val="18"/>
        </w:rPr>
        <w:t xml:space="preserve">Scriptures: </w:t>
      </w:r>
      <w:r w:rsidR="002C6ACB" w:rsidRPr="00E54204">
        <w:rPr>
          <w:rFonts w:cs="Times New Roman"/>
          <w:bCs/>
          <w:i/>
          <w:iCs/>
          <w:color w:val="000000"/>
          <w:szCs w:val="18"/>
        </w:rPr>
        <w:t>Hebrew and English</w:t>
      </w:r>
      <w:r w:rsidR="002C6ACB" w:rsidRPr="00E54204">
        <w:rPr>
          <w:rFonts w:cs="Times New Roman"/>
          <w:bCs/>
          <w:iCs/>
          <w:color w:val="000000"/>
          <w:szCs w:val="18"/>
        </w:rPr>
        <w:t xml:space="preserve"> (NKJV)</w:t>
      </w:r>
      <w:r w:rsidR="002C6ACB" w:rsidRPr="00E54204">
        <w:rPr>
          <w:rFonts w:cs="Times New Roman"/>
          <w:bCs/>
          <w:color w:val="000000"/>
          <w:szCs w:val="18"/>
        </w:rPr>
        <w:t>. Jerusalem: I.A.D.B.W and B.S.I, 1997.</w:t>
      </w:r>
    </w:p>
    <w:p w14:paraId="5EEA8938" w14:textId="77777777" w:rsidR="0036720F" w:rsidRPr="00E54204" w:rsidRDefault="0036720F" w:rsidP="0036720F">
      <w:pPr>
        <w:spacing w:line="240" w:lineRule="auto"/>
        <w:rPr>
          <w:rFonts w:cs="Times New Roman"/>
          <w:bCs/>
          <w:color w:val="000000"/>
          <w:szCs w:val="18"/>
        </w:rPr>
      </w:pPr>
    </w:p>
    <w:p w14:paraId="669F208D" w14:textId="77777777" w:rsidR="001E41CC" w:rsidRPr="00E54204" w:rsidRDefault="0036720F" w:rsidP="0036720F">
      <w:pPr>
        <w:spacing w:line="240" w:lineRule="auto"/>
        <w:rPr>
          <w:rFonts w:cs="Times New Roman"/>
          <w:bCs/>
          <w:i/>
          <w:iCs/>
          <w:color w:val="000000"/>
          <w:szCs w:val="24"/>
        </w:rPr>
      </w:pPr>
      <w:r w:rsidRPr="00E54204">
        <w:t>Society of Bib. Arch.</w:t>
      </w:r>
      <w:r w:rsidR="002E3A00" w:rsidRPr="00E54204">
        <w:t xml:space="preserve"> 1893.</w:t>
      </w:r>
      <w:r w:rsidRPr="00E54204">
        <w:t xml:space="preserve"> “Ancient Traditions of Supernatural Voices (Bath-Kol)”</w:t>
      </w:r>
      <w:r w:rsidRPr="00E54204">
        <w:rPr>
          <w:rFonts w:cs="Times New Roman"/>
          <w:bCs/>
          <w:i/>
          <w:iCs/>
          <w:color w:val="000000"/>
          <w:szCs w:val="24"/>
        </w:rPr>
        <w:t xml:space="preserve"> </w:t>
      </w:r>
    </w:p>
    <w:p w14:paraId="01B0C10E" w14:textId="77777777" w:rsidR="001E41CC" w:rsidRPr="00E54204" w:rsidRDefault="0036720F" w:rsidP="001E41CC">
      <w:pPr>
        <w:spacing w:line="240" w:lineRule="auto"/>
        <w:ind w:firstLine="720"/>
        <w:rPr>
          <w:rFonts w:cs="Times New Roman"/>
          <w:bCs/>
          <w:color w:val="000000"/>
          <w:szCs w:val="24"/>
        </w:rPr>
      </w:pPr>
      <w:r w:rsidRPr="00E54204">
        <w:rPr>
          <w:rFonts w:cs="Times New Roman"/>
          <w:bCs/>
          <w:i/>
          <w:iCs/>
          <w:color w:val="000000"/>
          <w:szCs w:val="24"/>
        </w:rPr>
        <w:t>Transactions of the Society of Biblical Archaeology</w:t>
      </w:r>
      <w:r w:rsidR="002E3A00" w:rsidRPr="00E54204">
        <w:rPr>
          <w:rFonts w:cs="Times New Roman"/>
          <w:bCs/>
          <w:color w:val="000000"/>
          <w:szCs w:val="24"/>
        </w:rPr>
        <w:t>. Vol. 9. London</w:t>
      </w:r>
      <w:r w:rsidRPr="00E54204">
        <w:rPr>
          <w:rFonts w:cs="Times New Roman"/>
          <w:bCs/>
          <w:color w:val="000000"/>
          <w:szCs w:val="24"/>
        </w:rPr>
        <w:t>. 182-</w:t>
      </w:r>
    </w:p>
    <w:p w14:paraId="74EAE4EA" w14:textId="77777777" w:rsidR="0036720F" w:rsidRPr="00E54204" w:rsidRDefault="0036720F" w:rsidP="001E41CC">
      <w:pPr>
        <w:spacing w:line="240" w:lineRule="auto"/>
        <w:ind w:firstLine="720"/>
        <w:rPr>
          <w:rFonts w:cs="Times New Roman"/>
          <w:bCs/>
          <w:color w:val="000000"/>
          <w:szCs w:val="24"/>
        </w:rPr>
      </w:pPr>
      <w:r w:rsidRPr="00E54204">
        <w:rPr>
          <w:rFonts w:cs="Times New Roman"/>
          <w:bCs/>
          <w:color w:val="000000"/>
          <w:szCs w:val="24"/>
        </w:rPr>
        <w:t>194. http://babel.hathitrust.org/cgi/pt?id=uc1.b3040723;view=1up;seq=9.</w:t>
      </w:r>
      <w:r w:rsidRPr="00E54204">
        <w:rPr>
          <w:rFonts w:cs="Times New Roman"/>
          <w:color w:val="000000"/>
          <w:szCs w:val="24"/>
        </w:rPr>
        <w:t xml:space="preserve"> </w:t>
      </w:r>
    </w:p>
    <w:p w14:paraId="725CD301" w14:textId="77777777" w:rsidR="002C6ACB" w:rsidRPr="00E54204" w:rsidRDefault="002C6ACB" w:rsidP="002C6ACB">
      <w:pPr>
        <w:spacing w:line="240" w:lineRule="auto"/>
        <w:ind w:firstLine="720"/>
        <w:rPr>
          <w:rFonts w:cs="Times New Roman"/>
          <w:color w:val="000000"/>
          <w:szCs w:val="18"/>
        </w:rPr>
      </w:pPr>
    </w:p>
    <w:p w14:paraId="6E17B0CA" w14:textId="77777777" w:rsidR="002C6ACB" w:rsidRPr="00E54204" w:rsidRDefault="002C6ACB" w:rsidP="002C6ACB">
      <w:pPr>
        <w:spacing w:line="240" w:lineRule="auto"/>
        <w:rPr>
          <w:rFonts w:cs="Times New Roman"/>
          <w:bCs/>
          <w:color w:val="000000"/>
          <w:szCs w:val="18"/>
        </w:rPr>
      </w:pPr>
      <w:r w:rsidRPr="00E54204">
        <w:rPr>
          <w:rFonts w:cs="Times New Roman"/>
          <w:bCs/>
          <w:color w:val="000000"/>
          <w:szCs w:val="18"/>
        </w:rPr>
        <w:t>Trattner, Ernest R. </w:t>
      </w:r>
      <w:r w:rsidRPr="00E54204">
        <w:rPr>
          <w:rFonts w:cs="Times New Roman"/>
          <w:bCs/>
          <w:i/>
          <w:iCs/>
          <w:color w:val="000000"/>
          <w:szCs w:val="18"/>
        </w:rPr>
        <w:t>Understanding the Talmud</w:t>
      </w:r>
      <w:r w:rsidRPr="00E54204">
        <w:rPr>
          <w:rFonts w:cs="Times New Roman"/>
          <w:bCs/>
          <w:color w:val="000000"/>
          <w:szCs w:val="18"/>
        </w:rPr>
        <w:t>. New York: T. Nelson, 1955.</w:t>
      </w:r>
    </w:p>
    <w:p w14:paraId="1DE63716" w14:textId="77777777" w:rsidR="002C6ACB" w:rsidRPr="00E54204" w:rsidRDefault="002C6ACB" w:rsidP="002C6ACB">
      <w:pPr>
        <w:spacing w:line="240" w:lineRule="auto"/>
        <w:rPr>
          <w:rFonts w:cs="Times New Roman"/>
          <w:bCs/>
          <w:color w:val="000000"/>
          <w:szCs w:val="18"/>
        </w:rPr>
      </w:pPr>
    </w:p>
    <w:p w14:paraId="23DC0AA8" w14:textId="77777777" w:rsidR="004B60D7" w:rsidRPr="00E54204" w:rsidRDefault="002C6ACB" w:rsidP="004B60D7">
      <w:pPr>
        <w:spacing w:line="240" w:lineRule="auto"/>
        <w:rPr>
          <w:rFonts w:cs="Times New Roman"/>
          <w:bCs/>
          <w:color w:val="000000"/>
          <w:szCs w:val="18"/>
        </w:rPr>
      </w:pPr>
      <w:r w:rsidRPr="00E54204">
        <w:rPr>
          <w:rFonts w:cs="Times New Roman"/>
          <w:bCs/>
          <w:color w:val="000000"/>
          <w:szCs w:val="18"/>
        </w:rPr>
        <w:t>VanderKam, James C. </w:t>
      </w:r>
      <w:r w:rsidRPr="00E54204">
        <w:rPr>
          <w:rFonts w:cs="Times New Roman"/>
          <w:bCs/>
          <w:i/>
          <w:iCs/>
          <w:color w:val="000000"/>
          <w:szCs w:val="18"/>
        </w:rPr>
        <w:t>Enoch and the Growth of an Apocalyptic Tradition</w:t>
      </w:r>
      <w:r w:rsidR="004B60D7" w:rsidRPr="00E54204">
        <w:rPr>
          <w:rFonts w:cs="Times New Roman"/>
          <w:bCs/>
          <w:color w:val="000000"/>
          <w:szCs w:val="18"/>
        </w:rPr>
        <w:t xml:space="preserve">. Washington, </w:t>
      </w:r>
    </w:p>
    <w:p w14:paraId="4B918355" w14:textId="77777777" w:rsidR="002C6ACB" w:rsidRPr="00E54204" w:rsidRDefault="004B60D7" w:rsidP="004B60D7">
      <w:pPr>
        <w:spacing w:line="240" w:lineRule="auto"/>
        <w:ind w:firstLine="720"/>
        <w:rPr>
          <w:rFonts w:cs="Times New Roman"/>
          <w:bCs/>
          <w:color w:val="000000"/>
          <w:szCs w:val="18"/>
        </w:rPr>
      </w:pPr>
      <w:r w:rsidRPr="00E54204">
        <w:rPr>
          <w:rFonts w:cs="Times New Roman"/>
          <w:bCs/>
          <w:color w:val="000000"/>
          <w:szCs w:val="18"/>
        </w:rPr>
        <w:t xml:space="preserve">D.C.: </w:t>
      </w:r>
      <w:r w:rsidR="002C6ACB" w:rsidRPr="00E54204">
        <w:rPr>
          <w:rFonts w:cs="Times New Roman"/>
          <w:bCs/>
          <w:color w:val="000000"/>
          <w:szCs w:val="18"/>
        </w:rPr>
        <w:t>Catholic Biblical Association of America, 1984.</w:t>
      </w:r>
    </w:p>
    <w:p w14:paraId="2868257A" w14:textId="77777777" w:rsidR="002C6ACB" w:rsidRPr="00E54204" w:rsidRDefault="002C6ACB" w:rsidP="002C6ACB">
      <w:pPr>
        <w:spacing w:line="240" w:lineRule="auto"/>
        <w:ind w:firstLine="720"/>
        <w:rPr>
          <w:rFonts w:cs="Times New Roman"/>
          <w:color w:val="000000"/>
          <w:szCs w:val="18"/>
        </w:rPr>
      </w:pPr>
    </w:p>
    <w:p w14:paraId="3E728BBE" w14:textId="77777777" w:rsidR="002C6ACB" w:rsidRPr="00E54204" w:rsidRDefault="002C6ACB" w:rsidP="002C6ACB">
      <w:pPr>
        <w:spacing w:line="240" w:lineRule="auto"/>
        <w:rPr>
          <w:rFonts w:cs="Times New Roman"/>
          <w:bCs/>
          <w:color w:val="000000"/>
          <w:szCs w:val="18"/>
        </w:rPr>
      </w:pPr>
      <w:r w:rsidRPr="00E54204">
        <w:rPr>
          <w:rFonts w:cs="Times New Roman"/>
          <w:bCs/>
          <w:color w:val="000000"/>
          <w:szCs w:val="18"/>
        </w:rPr>
        <w:t>_______."Mantic Wisdom in the Dead Sea Scrolls." </w:t>
      </w:r>
      <w:r w:rsidRPr="00E54204">
        <w:rPr>
          <w:rFonts w:cs="Times New Roman"/>
          <w:bCs/>
          <w:i/>
          <w:iCs/>
          <w:color w:val="000000"/>
          <w:szCs w:val="18"/>
        </w:rPr>
        <w:t>Dead Sea Discoveries</w:t>
      </w:r>
      <w:r w:rsidRPr="00E54204">
        <w:rPr>
          <w:rFonts w:cs="Times New Roman"/>
          <w:bCs/>
          <w:color w:val="000000"/>
          <w:szCs w:val="18"/>
        </w:rPr>
        <w:t xml:space="preserve"> 4, no. 3 </w:t>
      </w:r>
    </w:p>
    <w:p w14:paraId="4B67CA5F" w14:textId="77777777" w:rsidR="002C6ACB" w:rsidRPr="00E54204" w:rsidRDefault="002C6ACB" w:rsidP="002C6ACB">
      <w:pPr>
        <w:spacing w:line="240" w:lineRule="auto"/>
        <w:ind w:firstLine="720"/>
        <w:rPr>
          <w:rFonts w:cs="Times New Roman"/>
          <w:bCs/>
          <w:color w:val="000000"/>
          <w:szCs w:val="18"/>
        </w:rPr>
      </w:pPr>
      <w:r w:rsidRPr="00E54204">
        <w:rPr>
          <w:rFonts w:cs="Times New Roman"/>
          <w:bCs/>
          <w:color w:val="000000"/>
          <w:szCs w:val="18"/>
        </w:rPr>
        <w:t>(1997): 336-53.</w:t>
      </w:r>
    </w:p>
    <w:p w14:paraId="67CB69E3" w14:textId="77777777" w:rsidR="002C6ACB" w:rsidRPr="00E54204" w:rsidRDefault="002C6ACB" w:rsidP="002C6ACB">
      <w:pPr>
        <w:spacing w:line="240" w:lineRule="auto"/>
        <w:ind w:firstLine="720"/>
        <w:rPr>
          <w:rFonts w:cs="Times New Roman"/>
          <w:bCs/>
          <w:color w:val="000000"/>
          <w:szCs w:val="18"/>
        </w:rPr>
      </w:pPr>
    </w:p>
    <w:p w14:paraId="01AA1F55" w14:textId="77777777" w:rsidR="00304B4C" w:rsidRPr="00E54204" w:rsidRDefault="002C6ACB" w:rsidP="00304B4C">
      <w:pPr>
        <w:spacing w:line="240" w:lineRule="auto"/>
        <w:rPr>
          <w:rFonts w:cs="Times New Roman"/>
          <w:bCs/>
          <w:color w:val="000000"/>
          <w:szCs w:val="18"/>
        </w:rPr>
      </w:pPr>
      <w:r w:rsidRPr="00E54204">
        <w:rPr>
          <w:rFonts w:cs="Times New Roman"/>
          <w:bCs/>
          <w:color w:val="000000"/>
          <w:szCs w:val="18"/>
        </w:rPr>
        <w:t xml:space="preserve">Vermes, Geza. </w:t>
      </w:r>
      <w:r w:rsidRPr="00E54204">
        <w:rPr>
          <w:rFonts w:cs="Times New Roman"/>
          <w:bCs/>
          <w:i/>
          <w:color w:val="000000"/>
          <w:szCs w:val="18"/>
        </w:rPr>
        <w:t>Who’s Who in the Age of Jesus.</w:t>
      </w:r>
      <w:r w:rsidRPr="00E54204">
        <w:rPr>
          <w:rFonts w:cs="Times New Roman"/>
          <w:bCs/>
          <w:color w:val="000000"/>
          <w:szCs w:val="18"/>
        </w:rPr>
        <w:t xml:space="preserve"> London: Penguin Books, 2006.</w:t>
      </w:r>
    </w:p>
    <w:p w14:paraId="7680A8A3" w14:textId="77777777" w:rsidR="008E1AC3" w:rsidRPr="00E54204" w:rsidRDefault="008E1AC3" w:rsidP="00304B4C">
      <w:pPr>
        <w:spacing w:line="240" w:lineRule="auto"/>
        <w:rPr>
          <w:rFonts w:cs="Times New Roman"/>
          <w:bCs/>
          <w:color w:val="000000"/>
          <w:szCs w:val="18"/>
        </w:rPr>
      </w:pPr>
    </w:p>
    <w:p w14:paraId="40D26E3A" w14:textId="77777777" w:rsidR="00304B4C" w:rsidRPr="00E54204" w:rsidRDefault="002C6ACB" w:rsidP="00304B4C">
      <w:pPr>
        <w:spacing w:line="240" w:lineRule="auto"/>
        <w:rPr>
          <w:rFonts w:cs="Times New Roman"/>
          <w:bCs/>
          <w:i/>
          <w:iCs/>
        </w:rPr>
      </w:pPr>
      <w:r w:rsidRPr="00E54204">
        <w:rPr>
          <w:rFonts w:cs="Times New Roman"/>
          <w:bCs/>
        </w:rPr>
        <w:t>Vitringa, Campegius. </w:t>
      </w:r>
      <w:r w:rsidRPr="00E54204">
        <w:rPr>
          <w:rFonts w:cs="Times New Roman"/>
          <w:bCs/>
          <w:i/>
          <w:iCs/>
        </w:rPr>
        <w:t xml:space="preserve">Observationes Sacrae: Libri Quintus &amp; </w:t>
      </w:r>
      <w:r w:rsidR="004B60D7" w:rsidRPr="00E54204">
        <w:rPr>
          <w:rFonts w:cs="Times New Roman"/>
          <w:bCs/>
          <w:i/>
          <w:iCs/>
        </w:rPr>
        <w:t xml:space="preserve">Sextus in Quibus De Rebus </w:t>
      </w:r>
    </w:p>
    <w:p w14:paraId="63DB7392" w14:textId="77777777" w:rsidR="002C6ACB" w:rsidRPr="004B60D7" w:rsidRDefault="004B60D7" w:rsidP="00304B4C">
      <w:pPr>
        <w:spacing w:line="240" w:lineRule="auto"/>
        <w:ind w:left="720"/>
        <w:rPr>
          <w:rFonts w:cs="Times New Roman"/>
          <w:bCs/>
          <w:i/>
          <w:iCs/>
        </w:rPr>
      </w:pPr>
      <w:r w:rsidRPr="00E54204">
        <w:rPr>
          <w:rFonts w:cs="Times New Roman"/>
          <w:bCs/>
          <w:i/>
          <w:iCs/>
        </w:rPr>
        <w:t xml:space="preserve">Varii </w:t>
      </w:r>
      <w:r w:rsidR="002C6ACB" w:rsidRPr="00E54204">
        <w:rPr>
          <w:rFonts w:cs="Times New Roman"/>
          <w:bCs/>
          <w:i/>
          <w:iCs/>
        </w:rPr>
        <w:t xml:space="preserve">Argumenti ... Theologice Ac Critice, Disseritur : </w:t>
      </w:r>
      <w:r w:rsidRPr="00E54204">
        <w:rPr>
          <w:rFonts w:cs="Times New Roman"/>
          <w:bCs/>
          <w:i/>
          <w:iCs/>
        </w:rPr>
        <w:t xml:space="preserve">Sacrorum Imprimis Librorum Loca </w:t>
      </w:r>
      <w:r w:rsidR="002C6ACB" w:rsidRPr="00E54204">
        <w:rPr>
          <w:rFonts w:cs="Times New Roman"/>
          <w:bCs/>
          <w:i/>
          <w:iCs/>
        </w:rPr>
        <w:t>Multa Obscuriora Nova Vel Clariore Luce Perfunduntur</w:t>
      </w:r>
      <w:r w:rsidR="002C6ACB" w:rsidRPr="00E54204">
        <w:rPr>
          <w:rFonts w:cs="Times New Roman"/>
          <w:bCs/>
        </w:rPr>
        <w:t>. Franequerae: Bleck, 1708.</w:t>
      </w:r>
    </w:p>
    <w:p w14:paraId="74ED9355" w14:textId="77777777" w:rsidR="002C6ACB" w:rsidRPr="00AB71C5" w:rsidRDefault="002C6ACB" w:rsidP="002C6ACB">
      <w:pPr>
        <w:spacing w:line="240" w:lineRule="auto"/>
        <w:ind w:firstLine="720"/>
      </w:pPr>
    </w:p>
    <w:p w14:paraId="593A2847" w14:textId="77777777" w:rsidR="002C6ACB" w:rsidRDefault="002C6ACB"/>
    <w:sectPr w:rsidR="002C6ACB" w:rsidSect="00FC3FDF">
      <w:pgSz w:w="12240" w:h="15840" w:code="1"/>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88DA7" w14:textId="77777777" w:rsidR="00647E0A" w:rsidRDefault="00647E0A" w:rsidP="00AA1903">
      <w:pPr>
        <w:spacing w:line="240" w:lineRule="auto"/>
      </w:pPr>
      <w:r>
        <w:separator/>
      </w:r>
    </w:p>
  </w:endnote>
  <w:endnote w:type="continuationSeparator" w:id="0">
    <w:p w14:paraId="4104F0E7" w14:textId="77777777" w:rsidR="00647E0A" w:rsidRDefault="00647E0A" w:rsidP="00AA1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682604"/>
      <w:docPartObj>
        <w:docPartGallery w:val="Page Numbers (Bottom of Page)"/>
        <w:docPartUnique/>
      </w:docPartObj>
    </w:sdtPr>
    <w:sdtEndPr>
      <w:rPr>
        <w:noProof/>
      </w:rPr>
    </w:sdtEndPr>
    <w:sdtContent>
      <w:p w14:paraId="55AEEF29" w14:textId="77777777" w:rsidR="00E54204" w:rsidRDefault="00E54204">
        <w:pPr>
          <w:pStyle w:val="Footer"/>
          <w:jc w:val="center"/>
        </w:pPr>
        <w:r>
          <w:fldChar w:fldCharType="begin"/>
        </w:r>
        <w:r>
          <w:instrText xml:space="preserve"> PAGE   \* MERGEFORMAT </w:instrText>
        </w:r>
        <w:r>
          <w:fldChar w:fldCharType="separate"/>
        </w:r>
        <w:r w:rsidR="00510D07">
          <w:rPr>
            <w:noProof/>
          </w:rPr>
          <w:t>v</w:t>
        </w:r>
        <w:r>
          <w:rPr>
            <w:noProof/>
          </w:rPr>
          <w:fldChar w:fldCharType="end"/>
        </w:r>
      </w:p>
    </w:sdtContent>
  </w:sdt>
  <w:p w14:paraId="3319D76E" w14:textId="77777777" w:rsidR="00E54204" w:rsidRDefault="00E542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D752C" w14:textId="77777777" w:rsidR="00E54204" w:rsidRDefault="00E54204" w:rsidP="00986224">
    <w:pPr>
      <w:pStyle w:val="Footer"/>
      <w:jc w:val="center"/>
    </w:pPr>
  </w:p>
  <w:p w14:paraId="2A2503AF" w14:textId="77777777" w:rsidR="00E54204" w:rsidRDefault="00E542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A3325" w14:textId="77777777" w:rsidR="00647E0A" w:rsidRDefault="00647E0A" w:rsidP="00AA1903">
      <w:pPr>
        <w:spacing w:line="240" w:lineRule="auto"/>
      </w:pPr>
      <w:r>
        <w:separator/>
      </w:r>
    </w:p>
  </w:footnote>
  <w:footnote w:type="continuationSeparator" w:id="0">
    <w:p w14:paraId="230C5F13" w14:textId="77777777" w:rsidR="00647E0A" w:rsidRDefault="00647E0A" w:rsidP="00AA1903">
      <w:pPr>
        <w:spacing w:line="240" w:lineRule="auto"/>
      </w:pPr>
      <w:r>
        <w:continuationSeparator/>
      </w:r>
    </w:p>
  </w:footnote>
  <w:footnote w:id="1">
    <w:p w14:paraId="5CAB989D" w14:textId="77777777" w:rsidR="00E54204" w:rsidRPr="00E54204" w:rsidRDefault="00E54204" w:rsidP="007F63ED">
      <w:pPr>
        <w:pStyle w:val="FootnoteText"/>
      </w:pPr>
      <w:r w:rsidRPr="00E54204">
        <w:rPr>
          <w:rStyle w:val="FootnoteReference"/>
        </w:rPr>
        <w:footnoteRef/>
      </w:r>
      <w:r w:rsidRPr="00E54204">
        <w:t xml:space="preserve"> It is variously translated; “heavenly voice,” “voice from heaven,” or “heavenly echo.”  Occasionally, I will use one of these epithets.  More often I will simply use the phrase “</w:t>
      </w:r>
      <w:r w:rsidRPr="00E54204">
        <w:rPr>
          <w:i/>
        </w:rPr>
        <w:t>bat kol</w:t>
      </w:r>
      <w:r w:rsidRPr="00E54204">
        <w:t xml:space="preserve">.” </w:t>
      </w:r>
    </w:p>
    <w:p w14:paraId="3E0AAB28" w14:textId="77777777" w:rsidR="00E54204" w:rsidRPr="00E54204" w:rsidRDefault="00E54204" w:rsidP="007F63ED">
      <w:pPr>
        <w:pStyle w:val="FootnoteText"/>
      </w:pPr>
    </w:p>
  </w:footnote>
  <w:footnote w:id="2">
    <w:p w14:paraId="3A54FB7E" w14:textId="77777777" w:rsidR="00E54204" w:rsidRPr="00E54204" w:rsidRDefault="00E54204" w:rsidP="007F63ED">
      <w:pPr>
        <w:pStyle w:val="FootnoteText"/>
      </w:pPr>
      <w:r w:rsidRPr="00E54204">
        <w:rPr>
          <w:rStyle w:val="FootnoteReference"/>
        </w:rPr>
        <w:footnoteRef/>
      </w:r>
      <w:r w:rsidRPr="00E54204">
        <w:t xml:space="preserve"> See Arthur Mamorstein’s list in Bernard Grossfeld, </w:t>
      </w:r>
      <w:r w:rsidRPr="00E54204">
        <w:rPr>
          <w:i/>
        </w:rPr>
        <w:t>The Two Targums of Esther</w:t>
      </w:r>
      <w:r w:rsidRPr="00E54204">
        <w:t xml:space="preserve"> (Collegeville, MN: The Liturgical Press, 1991), 18.</w:t>
      </w:r>
    </w:p>
    <w:p w14:paraId="6940E212" w14:textId="77777777" w:rsidR="00E54204" w:rsidRPr="00E54204" w:rsidRDefault="00E54204" w:rsidP="007F63ED">
      <w:pPr>
        <w:pStyle w:val="FootnoteText"/>
      </w:pPr>
    </w:p>
  </w:footnote>
  <w:footnote w:id="3">
    <w:p w14:paraId="792DA972" w14:textId="77777777" w:rsidR="00E54204" w:rsidRPr="00E54204" w:rsidRDefault="00E54204" w:rsidP="007F63ED">
      <w:pPr>
        <w:pStyle w:val="FootnoteText"/>
      </w:pPr>
      <w:r w:rsidRPr="00E54204">
        <w:rPr>
          <w:rStyle w:val="FootnoteReference"/>
        </w:rPr>
        <w:footnoteRef/>
      </w:r>
      <w:r w:rsidRPr="00E54204">
        <w:t xml:space="preserve"> </w:t>
      </w:r>
      <w:r w:rsidRPr="00E54204">
        <w:rPr>
          <w:i/>
        </w:rPr>
        <w:t>Haggadah</w:t>
      </w:r>
      <w:r w:rsidRPr="00E54204">
        <w:t xml:space="preserve"> is traditionally defined as everything that is not “</w:t>
      </w:r>
      <w:r w:rsidRPr="00E54204">
        <w:rPr>
          <w:i/>
        </w:rPr>
        <w:t>Halachic</w:t>
      </w:r>
      <w:r w:rsidRPr="00E54204">
        <w:t>,” that is not legal.  Both terms, however, are richly nuanced.</w:t>
      </w:r>
    </w:p>
    <w:p w14:paraId="67CA839B" w14:textId="77777777" w:rsidR="00E54204" w:rsidRPr="00E54204" w:rsidRDefault="00E54204" w:rsidP="007F63ED">
      <w:pPr>
        <w:pStyle w:val="FootnoteText"/>
      </w:pPr>
      <w:r w:rsidRPr="00E54204">
        <w:t xml:space="preserve"> </w:t>
      </w:r>
    </w:p>
  </w:footnote>
  <w:footnote w:id="4">
    <w:p w14:paraId="5F27C1A0" w14:textId="77777777" w:rsidR="00E54204" w:rsidRPr="00E54204" w:rsidRDefault="00E54204" w:rsidP="007F63ED">
      <w:pPr>
        <w:pStyle w:val="FootnoteText"/>
      </w:pPr>
      <w:r w:rsidRPr="00E54204">
        <w:rPr>
          <w:rStyle w:val="FootnoteReference"/>
        </w:rPr>
        <w:footnoteRef/>
      </w:r>
      <w:r w:rsidRPr="00E54204">
        <w:t xml:space="preserve"> See Ernest Trattner, </w:t>
      </w:r>
      <w:r w:rsidRPr="00E54204">
        <w:rPr>
          <w:i/>
        </w:rPr>
        <w:t xml:space="preserve">Understanding the Talmud </w:t>
      </w:r>
      <w:r w:rsidRPr="00E54204">
        <w:t>(New York: Thomas Nelson, 1955), 47.</w:t>
      </w:r>
    </w:p>
    <w:p w14:paraId="133BFBAF" w14:textId="77777777" w:rsidR="00E54204" w:rsidRPr="00E54204" w:rsidRDefault="00E54204" w:rsidP="007F63ED">
      <w:pPr>
        <w:pStyle w:val="FootnoteText"/>
      </w:pPr>
    </w:p>
  </w:footnote>
  <w:footnote w:id="5">
    <w:p w14:paraId="7F3312E8" w14:textId="77777777" w:rsidR="00E54204" w:rsidRPr="00E54204" w:rsidRDefault="00E54204" w:rsidP="007F63ED">
      <w:pPr>
        <w:pStyle w:val="FootnoteText"/>
      </w:pPr>
      <w:r w:rsidRPr="00E54204">
        <w:rPr>
          <w:rStyle w:val="FootnoteReference"/>
        </w:rPr>
        <w:footnoteRef/>
      </w:r>
      <w:r w:rsidRPr="00E54204">
        <w:t xml:space="preserve"> Howard Schwartz defines it as a method which, “searches for hints and explanations of the biblical text to resolve apparent contradictions and complete unfinished narratives.  To accomplish this, it uses many techniques, such as examining the roots of words, drawing on earlier or later portions of the text (the chapters before and after are always considered relevant.), or using the purest kind of invention to resolve a knotty problem.  Of course this invention is attributed to the Oral Torah, and therefore is regarded as legitimate.”  Cf. Howard Schwartz, </w:t>
      </w:r>
      <w:r w:rsidRPr="00E54204">
        <w:rPr>
          <w:i/>
        </w:rPr>
        <w:t>Tree of Souls: the Mythology of Judaism</w:t>
      </w:r>
      <w:r w:rsidRPr="00E54204">
        <w:t xml:space="preserve"> (Oxford: Oxford University Press, 2004), lxxvi.  </w:t>
      </w:r>
    </w:p>
    <w:p w14:paraId="6569402C" w14:textId="77777777" w:rsidR="00E54204" w:rsidRPr="00E54204" w:rsidRDefault="00E54204" w:rsidP="007F63ED">
      <w:pPr>
        <w:pStyle w:val="FootnoteText"/>
      </w:pPr>
    </w:p>
  </w:footnote>
  <w:footnote w:id="6">
    <w:p w14:paraId="11CFB56C" w14:textId="77777777" w:rsidR="00E54204" w:rsidRPr="00E54204" w:rsidRDefault="00E54204" w:rsidP="007F63ED">
      <w:pPr>
        <w:pStyle w:val="FootnoteText"/>
      </w:pPr>
      <w:r w:rsidRPr="00E54204">
        <w:rPr>
          <w:rStyle w:val="FootnoteReference"/>
        </w:rPr>
        <w:footnoteRef/>
      </w:r>
      <w:r w:rsidRPr="00E54204">
        <w:t xml:space="preserve"> The Midrash is believed to be from ca. third century CE.  See </w:t>
      </w:r>
      <w:r w:rsidRPr="00E54204">
        <w:rPr>
          <w:i/>
        </w:rPr>
        <w:t xml:space="preserve">Sifre </w:t>
      </w:r>
      <w:r w:rsidRPr="00E54204">
        <w:t xml:space="preserve">(Midrash on Numbers and Deuteronomy) on Deut. 11:22.  Quoted by Z.H. Chajes, </w:t>
      </w:r>
      <w:r w:rsidRPr="00E54204">
        <w:rPr>
          <w:i/>
        </w:rPr>
        <w:t>The Student’s Guide through the Talmud</w:t>
      </w:r>
      <w:r w:rsidRPr="00E54204">
        <w:t xml:space="preserve"> (New York: Philipp Feldheim, 1960), 139. </w:t>
      </w:r>
    </w:p>
    <w:p w14:paraId="686FB71D" w14:textId="77777777" w:rsidR="00E54204" w:rsidRPr="00E54204" w:rsidRDefault="00E54204" w:rsidP="007F63ED">
      <w:pPr>
        <w:pStyle w:val="FootnoteText"/>
      </w:pPr>
    </w:p>
  </w:footnote>
  <w:footnote w:id="7">
    <w:p w14:paraId="20D0CD4C" w14:textId="77777777" w:rsidR="00E54204" w:rsidRPr="00E54204" w:rsidRDefault="00E54204" w:rsidP="007F63ED">
      <w:pPr>
        <w:pStyle w:val="FootnoteText"/>
      </w:pPr>
      <w:r w:rsidRPr="00E54204">
        <w:rPr>
          <w:rStyle w:val="FootnoteReference"/>
        </w:rPr>
        <w:footnoteRef/>
      </w:r>
      <w:r w:rsidRPr="00E54204">
        <w:t xml:space="preserve"> See Raphael Patai, </w:t>
      </w:r>
      <w:r w:rsidRPr="00E54204">
        <w:rPr>
          <w:i/>
        </w:rPr>
        <w:t xml:space="preserve">Gates to the Old City </w:t>
      </w:r>
      <w:r w:rsidRPr="00E54204">
        <w:t>(Detroit: Wayne State University Press, 1981), xxiii.</w:t>
      </w:r>
    </w:p>
    <w:p w14:paraId="05609675" w14:textId="77777777" w:rsidR="00E54204" w:rsidRPr="00E54204" w:rsidRDefault="00E54204" w:rsidP="007F63ED">
      <w:pPr>
        <w:pStyle w:val="FootnoteText"/>
      </w:pPr>
    </w:p>
  </w:footnote>
  <w:footnote w:id="8">
    <w:p w14:paraId="6578C2AB" w14:textId="77777777" w:rsidR="00E54204" w:rsidRPr="00E54204" w:rsidRDefault="00E54204" w:rsidP="007F63ED">
      <w:pPr>
        <w:pStyle w:val="FootnoteText"/>
      </w:pPr>
      <w:r w:rsidRPr="00E54204">
        <w:rPr>
          <w:rStyle w:val="FootnoteReference"/>
        </w:rPr>
        <w:footnoteRef/>
      </w:r>
      <w:r w:rsidRPr="00E54204">
        <w:t xml:space="preserve"> See </w:t>
      </w:r>
      <w:r w:rsidRPr="00E54204">
        <w:rPr>
          <w:i/>
        </w:rPr>
        <w:t xml:space="preserve">Mishneh Torah </w:t>
      </w:r>
      <w:r w:rsidRPr="00E54204">
        <w:t>(10, Intro.).</w:t>
      </w:r>
    </w:p>
    <w:p w14:paraId="64D114DA" w14:textId="77777777" w:rsidR="00E54204" w:rsidRPr="00E54204" w:rsidRDefault="00E54204" w:rsidP="007F63ED">
      <w:pPr>
        <w:pStyle w:val="FootnoteText"/>
      </w:pPr>
    </w:p>
  </w:footnote>
  <w:footnote w:id="9">
    <w:p w14:paraId="4419DD44" w14:textId="77777777" w:rsidR="00E54204" w:rsidRPr="00E54204" w:rsidRDefault="00E54204" w:rsidP="007F63ED">
      <w:pPr>
        <w:pStyle w:val="FootnoteText"/>
      </w:pPr>
      <w:r w:rsidRPr="00E54204">
        <w:rPr>
          <w:rStyle w:val="FootnoteReference"/>
        </w:rPr>
        <w:footnoteRef/>
      </w:r>
      <w:r w:rsidRPr="00E54204">
        <w:t xml:space="preserve"> I will abbreviate as “Bavli.”  When citing I will employ the following abbreviations: “B.” stands for Babylonian Talmud, “J.” Yerushalmi (Jerusalem), “T.” Tosefta, and “M.” Mishnah.</w:t>
      </w:r>
    </w:p>
    <w:p w14:paraId="2F4A4D06" w14:textId="77777777" w:rsidR="00E54204" w:rsidRPr="00E54204" w:rsidRDefault="00E54204" w:rsidP="007F63ED">
      <w:pPr>
        <w:pStyle w:val="FootnoteText"/>
      </w:pPr>
    </w:p>
  </w:footnote>
  <w:footnote w:id="10">
    <w:p w14:paraId="5079B86B" w14:textId="77777777" w:rsidR="00E54204" w:rsidRPr="00E54204" w:rsidRDefault="00E54204" w:rsidP="007F63ED">
      <w:pPr>
        <w:pStyle w:val="FootnoteText"/>
      </w:pPr>
      <w:r w:rsidRPr="00E54204">
        <w:rPr>
          <w:rStyle w:val="FootnoteReference"/>
        </w:rPr>
        <w:footnoteRef/>
      </w:r>
      <w:r w:rsidRPr="00E54204">
        <w:t xml:space="preserve"> See Michael Chernick, ed., </w:t>
      </w:r>
      <w:r w:rsidRPr="00E54204">
        <w:rPr>
          <w:i/>
        </w:rPr>
        <w:t xml:space="preserve">Essential Papers on the Talmud </w:t>
      </w:r>
      <w:r w:rsidRPr="00E54204">
        <w:t>(New York: New York University Press), 477.</w:t>
      </w:r>
    </w:p>
  </w:footnote>
  <w:footnote w:id="11">
    <w:p w14:paraId="68A4C785" w14:textId="77777777" w:rsidR="00E54204" w:rsidRPr="00E54204" w:rsidRDefault="00E54204" w:rsidP="007F63ED">
      <w:pPr>
        <w:pStyle w:val="FootnoteText"/>
      </w:pPr>
    </w:p>
    <w:p w14:paraId="148733AD" w14:textId="77777777" w:rsidR="00E54204" w:rsidRPr="00E54204" w:rsidRDefault="00E54204" w:rsidP="007F63ED">
      <w:pPr>
        <w:pStyle w:val="FootnoteText"/>
      </w:pPr>
      <w:r w:rsidRPr="00E54204">
        <w:rPr>
          <w:rStyle w:val="FootnoteReference"/>
        </w:rPr>
        <w:footnoteRef/>
      </w:r>
      <w:r w:rsidRPr="00E54204">
        <w:t xml:space="preserve"> I will also employ the term “Jewish Palestine” to refer to the same geographical region.  </w:t>
      </w:r>
    </w:p>
  </w:footnote>
  <w:footnote w:id="12">
    <w:p w14:paraId="21D63F14" w14:textId="77777777" w:rsidR="00E54204" w:rsidRPr="00E54204" w:rsidRDefault="00E54204" w:rsidP="007F63ED">
      <w:pPr>
        <w:pStyle w:val="FootnoteText"/>
      </w:pPr>
    </w:p>
    <w:p w14:paraId="333EA3D4" w14:textId="77777777" w:rsidR="00E54204" w:rsidRPr="00E54204" w:rsidRDefault="00E54204" w:rsidP="007F63ED">
      <w:pPr>
        <w:pStyle w:val="FootnoteText"/>
      </w:pPr>
      <w:r w:rsidRPr="00E54204">
        <w:rPr>
          <w:rStyle w:val="FootnoteReference"/>
        </w:rPr>
        <w:footnoteRef/>
      </w:r>
      <w:r w:rsidRPr="00E54204">
        <w:t xml:space="preserve"> Chernick, </w:t>
      </w:r>
      <w:r w:rsidRPr="00E54204">
        <w:rPr>
          <w:i/>
        </w:rPr>
        <w:t>Essential Papers</w:t>
      </w:r>
      <w:r w:rsidRPr="00E54204">
        <w:t>, 478.</w:t>
      </w:r>
    </w:p>
  </w:footnote>
  <w:footnote w:id="13">
    <w:p w14:paraId="051FD363" w14:textId="77777777" w:rsidR="00E54204" w:rsidRPr="00E54204" w:rsidRDefault="00E54204" w:rsidP="007F63ED">
      <w:pPr>
        <w:pStyle w:val="FootnoteText"/>
      </w:pPr>
    </w:p>
    <w:p w14:paraId="30FD2880" w14:textId="77777777" w:rsidR="00E54204" w:rsidRPr="00E54204" w:rsidRDefault="00E54204" w:rsidP="007F63ED">
      <w:pPr>
        <w:pStyle w:val="FootnoteText"/>
      </w:pPr>
      <w:r w:rsidRPr="00E54204">
        <w:rPr>
          <w:rStyle w:val="FootnoteReference"/>
        </w:rPr>
        <w:footnoteRef/>
      </w:r>
      <w:r w:rsidRPr="00E54204">
        <w:t xml:space="preserve"> Other Talmudim are sometimes referenced.</w:t>
      </w:r>
    </w:p>
  </w:footnote>
  <w:footnote w:id="14">
    <w:p w14:paraId="7B077E6E" w14:textId="77777777" w:rsidR="00E54204" w:rsidRPr="00E54204" w:rsidRDefault="00E54204" w:rsidP="007F63ED">
      <w:pPr>
        <w:pStyle w:val="FootnoteText"/>
      </w:pPr>
    </w:p>
    <w:p w14:paraId="698A2A2F" w14:textId="77777777" w:rsidR="00E54204" w:rsidRPr="00E54204" w:rsidRDefault="00E54204" w:rsidP="007F63ED">
      <w:pPr>
        <w:pStyle w:val="FootnoteText"/>
        <w:rPr>
          <w:bCs/>
          <w:i/>
          <w:iCs/>
        </w:rPr>
      </w:pPr>
      <w:r w:rsidRPr="00E54204">
        <w:rPr>
          <w:rStyle w:val="FootnoteReference"/>
        </w:rPr>
        <w:footnoteRef/>
      </w:r>
      <w:r w:rsidRPr="00E54204">
        <w:t xml:space="preserve"> Marcus Jastrow,</w:t>
      </w:r>
      <w:r w:rsidRPr="00E54204">
        <w:rPr>
          <w:rFonts w:hint="eastAsia"/>
          <w:bCs/>
          <w:i/>
          <w:iCs/>
          <w:szCs w:val="22"/>
        </w:rPr>
        <w:t xml:space="preserve"> </w:t>
      </w:r>
      <w:r w:rsidRPr="00E54204">
        <w:rPr>
          <w:rFonts w:hint="eastAsia"/>
          <w:bCs/>
          <w:i/>
          <w:iCs/>
        </w:rPr>
        <w:t xml:space="preserve">A Dictionary of the Targumim, the Talmud Babli and Yerushalmi, and the </w:t>
      </w:r>
    </w:p>
    <w:p w14:paraId="74814063" w14:textId="77777777" w:rsidR="00E54204" w:rsidRPr="00E54204" w:rsidRDefault="00E54204" w:rsidP="007F63ED">
      <w:pPr>
        <w:pStyle w:val="FootnoteText"/>
      </w:pPr>
      <w:r w:rsidRPr="00E54204">
        <w:rPr>
          <w:rFonts w:hint="eastAsia"/>
          <w:bCs/>
          <w:i/>
          <w:iCs/>
        </w:rPr>
        <w:t>Midrashic Literature</w:t>
      </w:r>
      <w:r w:rsidRPr="00E54204">
        <w:rPr>
          <w:bCs/>
          <w:iCs/>
        </w:rPr>
        <w:t xml:space="preserve"> (London: </w:t>
      </w:r>
      <w:r w:rsidRPr="00E54204">
        <w:rPr>
          <w:rFonts w:hint="eastAsia"/>
          <w:bCs/>
          <w:iCs/>
        </w:rPr>
        <w:t>Trübner</w:t>
      </w:r>
      <w:r w:rsidRPr="00E54204">
        <w:rPr>
          <w:bCs/>
          <w:iCs/>
        </w:rPr>
        <w:t>, 1886).</w:t>
      </w:r>
      <w:r w:rsidRPr="00E54204">
        <w:t xml:space="preserve"> </w:t>
      </w:r>
    </w:p>
    <w:p w14:paraId="1D9004B6" w14:textId="77777777" w:rsidR="00E54204" w:rsidRPr="00E54204" w:rsidRDefault="00E54204" w:rsidP="007F63ED">
      <w:pPr>
        <w:pStyle w:val="FootnoteText"/>
        <w:rPr>
          <w:i/>
        </w:rPr>
      </w:pPr>
    </w:p>
  </w:footnote>
  <w:footnote w:id="15">
    <w:p w14:paraId="39117F94" w14:textId="77777777" w:rsidR="00E54204" w:rsidRPr="00E54204" w:rsidRDefault="00E54204" w:rsidP="007F63ED">
      <w:pPr>
        <w:pStyle w:val="FootnoteText"/>
      </w:pPr>
      <w:r w:rsidRPr="00E54204">
        <w:rPr>
          <w:rStyle w:val="FootnoteReference"/>
        </w:rPr>
        <w:footnoteRef/>
      </w:r>
      <w:r w:rsidRPr="00E54204">
        <w:t xml:space="preserve"> See Isidore Singer and Cyrus Adler, </w:t>
      </w:r>
      <w:r w:rsidRPr="00E54204">
        <w:rPr>
          <w:i/>
        </w:rPr>
        <w:t xml:space="preserve">Jewish Encyclopedia </w:t>
      </w:r>
      <w:r w:rsidRPr="00E54204">
        <w:t>(New York: Funk &amp; Wagnalls Co., 1901), “bat kol.”</w:t>
      </w:r>
    </w:p>
    <w:p w14:paraId="6F5812DA" w14:textId="77777777" w:rsidR="00E54204" w:rsidRPr="00E54204" w:rsidRDefault="00E54204" w:rsidP="007F63ED">
      <w:pPr>
        <w:pStyle w:val="FootnoteText"/>
      </w:pPr>
    </w:p>
  </w:footnote>
  <w:footnote w:id="16">
    <w:p w14:paraId="20D816FB" w14:textId="77777777" w:rsidR="00E54204" w:rsidRPr="00E54204" w:rsidRDefault="00E54204" w:rsidP="007F63ED">
      <w:pPr>
        <w:pStyle w:val="FootnoteText"/>
      </w:pPr>
      <w:r w:rsidRPr="00E54204">
        <w:rPr>
          <w:rStyle w:val="FootnoteReference"/>
        </w:rPr>
        <w:footnoteRef/>
      </w:r>
      <w:r w:rsidRPr="00E54204">
        <w:t xml:space="preserve"> Josephus (</w:t>
      </w:r>
      <w:r w:rsidRPr="00E54204">
        <w:rPr>
          <w:i/>
        </w:rPr>
        <w:t>Antq.</w:t>
      </w:r>
      <w:r w:rsidRPr="00E54204">
        <w:t xml:space="preserve"> XIII 10.3); J. </w:t>
      </w:r>
      <w:r w:rsidRPr="00E54204">
        <w:rPr>
          <w:i/>
        </w:rPr>
        <w:t>Sotah</w:t>
      </w:r>
      <w:r w:rsidRPr="00E54204">
        <w:t xml:space="preserve"> 24b; B. </w:t>
      </w:r>
      <w:r w:rsidRPr="00E54204">
        <w:rPr>
          <w:i/>
        </w:rPr>
        <w:t xml:space="preserve">Sotah </w:t>
      </w:r>
      <w:r w:rsidRPr="00E54204">
        <w:t>33a.</w:t>
      </w:r>
    </w:p>
    <w:p w14:paraId="1CF6504F" w14:textId="77777777" w:rsidR="00E54204" w:rsidRPr="00E54204" w:rsidRDefault="00E54204" w:rsidP="007F63ED">
      <w:pPr>
        <w:pStyle w:val="FootnoteText"/>
      </w:pPr>
    </w:p>
  </w:footnote>
  <w:footnote w:id="17">
    <w:p w14:paraId="3073B839" w14:textId="77777777" w:rsidR="00E54204" w:rsidRPr="00E54204" w:rsidRDefault="00E54204" w:rsidP="000E10E0">
      <w:pPr>
        <w:pStyle w:val="FootnoteText"/>
      </w:pPr>
      <w:r w:rsidRPr="00E54204">
        <w:rPr>
          <w:rStyle w:val="FootnoteReference"/>
        </w:rPr>
        <w:footnoteRef/>
      </w:r>
      <w:r w:rsidRPr="00E54204">
        <w:t xml:space="preserve"> “Rabban” was a title given to Patriarchs (leaders) of the Sanhedrin.</w:t>
      </w:r>
    </w:p>
    <w:p w14:paraId="626F2E28" w14:textId="77777777" w:rsidR="00E54204" w:rsidRPr="00E54204" w:rsidRDefault="00E54204" w:rsidP="000E10E0">
      <w:pPr>
        <w:pStyle w:val="FootnoteText"/>
      </w:pPr>
    </w:p>
  </w:footnote>
  <w:footnote w:id="18">
    <w:p w14:paraId="5E4AB15C" w14:textId="77777777" w:rsidR="00E54204" w:rsidRPr="00E54204" w:rsidRDefault="00E54204" w:rsidP="007F63ED">
      <w:pPr>
        <w:pStyle w:val="FootnoteText"/>
      </w:pPr>
      <w:r w:rsidRPr="00E54204">
        <w:rPr>
          <w:rStyle w:val="FootnoteReference"/>
        </w:rPr>
        <w:footnoteRef/>
      </w:r>
      <w:r w:rsidRPr="00E54204">
        <w:t xml:space="preserve"> See Jeffrey Rubenstein, </w:t>
      </w:r>
      <w:r w:rsidRPr="00E54204">
        <w:rPr>
          <w:i/>
        </w:rPr>
        <w:t>Talmudic Stories: Narrative Art</w:t>
      </w:r>
      <w:r w:rsidRPr="00E54204">
        <w:t xml:space="preserve">, </w:t>
      </w:r>
      <w:r w:rsidRPr="00E54204">
        <w:rPr>
          <w:i/>
        </w:rPr>
        <w:t>Composition, and Culture</w:t>
      </w:r>
      <w:r w:rsidRPr="00E54204">
        <w:t xml:space="preserve"> (Baltimore: The John Hopkins University Press, 1999),</w:t>
      </w:r>
      <w:r w:rsidRPr="00E54204">
        <w:rPr>
          <w:i/>
        </w:rPr>
        <w:t xml:space="preserve"> </w:t>
      </w:r>
      <w:r w:rsidRPr="00E54204">
        <w:t>34-63.</w:t>
      </w:r>
    </w:p>
    <w:p w14:paraId="728307C9" w14:textId="77777777" w:rsidR="00E54204" w:rsidRPr="00E54204" w:rsidRDefault="00E54204" w:rsidP="007F63ED">
      <w:pPr>
        <w:pStyle w:val="FootnoteText"/>
      </w:pPr>
    </w:p>
  </w:footnote>
  <w:footnote w:id="19">
    <w:p w14:paraId="27CEA368" w14:textId="77777777" w:rsidR="00E54204" w:rsidRPr="00E54204" w:rsidRDefault="00E54204" w:rsidP="00406E76">
      <w:pPr>
        <w:pStyle w:val="FootnoteText"/>
      </w:pPr>
      <w:r w:rsidRPr="00E54204">
        <w:rPr>
          <w:rStyle w:val="FootnoteReference"/>
        </w:rPr>
        <w:footnoteRef/>
      </w:r>
      <w:r w:rsidRPr="00E54204">
        <w:t xml:space="preserve"> E.g. Jesus’ immersion: Matthew 3:13-17, Mark 1:9-11, Luke 3:21-23.  </w:t>
      </w:r>
    </w:p>
    <w:p w14:paraId="3D5F8A26" w14:textId="77777777" w:rsidR="00E54204" w:rsidRPr="00E54204" w:rsidRDefault="00E54204" w:rsidP="00406E76">
      <w:pPr>
        <w:pStyle w:val="FootnoteText"/>
      </w:pPr>
    </w:p>
  </w:footnote>
  <w:footnote w:id="20">
    <w:p w14:paraId="1543A495" w14:textId="77777777" w:rsidR="00E54204" w:rsidRPr="00E54204" w:rsidRDefault="00E54204" w:rsidP="00AA1903">
      <w:pPr>
        <w:pStyle w:val="FootnoteText"/>
        <w:rPr>
          <w:rFonts w:cs="Times New Roman"/>
        </w:rPr>
      </w:pPr>
      <w:r w:rsidRPr="00E54204">
        <w:rPr>
          <w:rStyle w:val="FootnoteReference"/>
        </w:rPr>
        <w:footnoteRef/>
      </w:r>
      <w:r w:rsidRPr="00E54204">
        <w:t xml:space="preserve"> </w:t>
      </w:r>
      <w:r w:rsidRPr="00E54204">
        <w:rPr>
          <w:rFonts w:cs="Times New Roman"/>
        </w:rPr>
        <w:t xml:space="preserve">Ed. John Kitto, </w:t>
      </w:r>
      <w:r w:rsidRPr="00E54204">
        <w:rPr>
          <w:rFonts w:cs="Times New Roman"/>
          <w:i/>
        </w:rPr>
        <w:t>Cyclopedia of Biblical Literature</w:t>
      </w:r>
      <w:r w:rsidRPr="00E54204">
        <w:rPr>
          <w:rFonts w:cs="Times New Roman"/>
        </w:rPr>
        <w:t>, vol. I (New York: Ivison &amp; Phinney, 1858), 304-305.</w:t>
      </w:r>
    </w:p>
    <w:p w14:paraId="5F0D9443" w14:textId="77777777" w:rsidR="00E54204" w:rsidRPr="00E54204" w:rsidRDefault="00E54204" w:rsidP="00AA1903">
      <w:pPr>
        <w:pStyle w:val="FootnoteText"/>
      </w:pPr>
    </w:p>
  </w:footnote>
  <w:footnote w:id="21">
    <w:p w14:paraId="26FDA7A8" w14:textId="77777777" w:rsidR="00E54204" w:rsidRPr="00E54204" w:rsidRDefault="00E54204" w:rsidP="00AA1903">
      <w:pPr>
        <w:pStyle w:val="NoSpacing"/>
      </w:pPr>
      <w:r w:rsidRPr="00E54204">
        <w:rPr>
          <w:rStyle w:val="FootnoteReference"/>
        </w:rPr>
        <w:footnoteRef/>
      </w:r>
      <w:r w:rsidRPr="00E54204">
        <w:t xml:space="preserve"> The following are additional sources in Latin and German (currently, I am not learned in these languages): Latin: Vitringa, </w:t>
      </w:r>
      <w:r w:rsidRPr="00E54204">
        <w:rPr>
          <w:i/>
        </w:rPr>
        <w:t>Observationes Sacrae</w:t>
      </w:r>
      <w:r w:rsidRPr="00E54204">
        <w:t xml:space="preserve"> (</w:t>
      </w:r>
      <w:r w:rsidRPr="00E54204">
        <w:rPr>
          <w:bCs/>
        </w:rPr>
        <w:t>Franequerae: Bleck, 1708)</w:t>
      </w:r>
      <w:r w:rsidRPr="00E54204">
        <w:t xml:space="preserve">. Adrien Reland et al., </w:t>
      </w:r>
      <w:r w:rsidRPr="00E54204">
        <w:rPr>
          <w:i/>
        </w:rPr>
        <w:t>Antiquates Sacrae Veterum Hebraeorum</w:t>
      </w:r>
      <w:r w:rsidRPr="00E54204">
        <w:t xml:space="preserve"> (Traiecti ad Rhenum: Ex Libraria Ioannis Broedelet, 1741), 134-135. Balthaser Scheidt, </w:t>
      </w:r>
      <w:r w:rsidRPr="00E54204">
        <w:rPr>
          <w:i/>
        </w:rPr>
        <w:t>Novum Testamentum ex Talmude</w:t>
      </w:r>
      <w:r w:rsidRPr="00E54204">
        <w:t xml:space="preserve"> (</w:t>
      </w:r>
      <w:r w:rsidRPr="00E54204">
        <w:rPr>
          <w:rFonts w:hint="eastAsia"/>
        </w:rPr>
        <w:t>Lipsiæ</w:t>
      </w:r>
      <w:r w:rsidRPr="00E54204">
        <w:t xml:space="preserve">: </w:t>
      </w:r>
      <w:r w:rsidRPr="00E54204">
        <w:rPr>
          <w:rFonts w:hint="eastAsia"/>
        </w:rPr>
        <w:t> apud hær. J.F. Braunii</w:t>
      </w:r>
      <w:r w:rsidRPr="00E54204">
        <w:t>, 1736), 350ff.  German:</w:t>
      </w:r>
      <w:r w:rsidRPr="00E54204">
        <w:rPr>
          <w:rFonts w:ascii="Arial Unicode MS" w:eastAsia="Arial Unicode MS" w:hAnsi="Arial Unicode MS" w:cs="Arial Unicode MS" w:hint="eastAsia"/>
          <w:color w:val="000000"/>
          <w:sz w:val="17"/>
          <w:szCs w:val="17"/>
          <w:shd w:val="clear" w:color="auto" w:fill="FFFFFF"/>
        </w:rPr>
        <w:t xml:space="preserve"> </w:t>
      </w:r>
      <w:r w:rsidRPr="00E54204">
        <w:rPr>
          <w:rFonts w:hint="eastAsia"/>
        </w:rPr>
        <w:t>Johannes</w:t>
      </w:r>
      <w:r w:rsidRPr="00E54204">
        <w:t xml:space="preserve"> </w:t>
      </w:r>
      <w:r w:rsidRPr="00E54204">
        <w:rPr>
          <w:rFonts w:hint="eastAsia"/>
        </w:rPr>
        <w:t>Lindblom, </w:t>
      </w:r>
      <w:r w:rsidRPr="00E54204">
        <w:rPr>
          <w:rFonts w:hint="eastAsia"/>
          <w:i/>
          <w:iCs/>
        </w:rPr>
        <w:t xml:space="preserve">Gesichte und Offenbarungen. Vorstellungen von Göttlichen Weisungen und </w:t>
      </w:r>
      <w:r w:rsidRPr="00E54204">
        <w:rPr>
          <w:i/>
          <w:iCs/>
        </w:rPr>
        <w:t>Ü</w:t>
      </w:r>
      <w:r w:rsidRPr="00E54204">
        <w:rPr>
          <w:rFonts w:hint="eastAsia"/>
          <w:i/>
          <w:iCs/>
        </w:rPr>
        <w:t xml:space="preserve">bernatürlichen Erscheinungen im </w:t>
      </w:r>
      <w:r w:rsidRPr="00E54204">
        <w:rPr>
          <w:i/>
          <w:iCs/>
        </w:rPr>
        <w:t>Ä</w:t>
      </w:r>
      <w:r w:rsidRPr="00E54204">
        <w:rPr>
          <w:rFonts w:hint="eastAsia"/>
          <w:i/>
          <w:iCs/>
        </w:rPr>
        <w:t>ltesten Christentum</w:t>
      </w:r>
      <w:r w:rsidRPr="00E54204">
        <w:rPr>
          <w:i/>
          <w:iCs/>
        </w:rPr>
        <w:t xml:space="preserve"> </w:t>
      </w:r>
      <w:r w:rsidRPr="00E54204">
        <w:rPr>
          <w:rFonts w:hint="eastAsia"/>
        </w:rPr>
        <w:t>(Lund: Gleerup, 1968</w:t>
      </w:r>
      <w:r w:rsidRPr="00E54204">
        <w:t>)</w:t>
      </w:r>
      <w:r w:rsidRPr="00E54204">
        <w:rPr>
          <w:rFonts w:hint="eastAsia"/>
        </w:rPr>
        <w:t>,</w:t>
      </w:r>
      <w:r w:rsidRPr="00E54204">
        <w:t xml:space="preserve"> 17, n.2. Peter Kuhn, </w:t>
      </w:r>
      <w:r w:rsidRPr="00E54204">
        <w:rPr>
          <w:i/>
        </w:rPr>
        <w:t>Offenbarung Stimmen im Antiken Judentum: Untersuchungen zur Bat Qol und Verwandeten Phänomen</w:t>
      </w:r>
      <w:r w:rsidRPr="00E54204">
        <w:t xml:space="preserve"> (Mohr Siebeck, 1989). Georg Herlitz, Georg and Bruno Kirschner, </w:t>
      </w:r>
      <w:r w:rsidRPr="00E54204">
        <w:rPr>
          <w:i/>
        </w:rPr>
        <w:t>Jüdisches Lexikon; Ein Enzyklopädisches Handbuch des Jüdischen Wissens in Vier Bänden Mit Über 2000 Illustrationen, Beilagen, Karten und Tabellen</w:t>
      </w:r>
      <w:r w:rsidRPr="00E54204">
        <w:t xml:space="preserve"> (Berlin: Jüdischer Verlag, 1927).</w:t>
      </w:r>
    </w:p>
    <w:p w14:paraId="6C159F49" w14:textId="77777777" w:rsidR="00E54204" w:rsidRPr="00E54204" w:rsidRDefault="00E54204" w:rsidP="00AA1903">
      <w:pPr>
        <w:pStyle w:val="NoSpacing"/>
      </w:pPr>
    </w:p>
  </w:footnote>
  <w:footnote w:id="22">
    <w:p w14:paraId="148CA9C2" w14:textId="77777777" w:rsidR="00E54204" w:rsidRPr="00E54204" w:rsidRDefault="00E54204" w:rsidP="00AA1903">
      <w:pPr>
        <w:pStyle w:val="FootnoteText"/>
      </w:pPr>
      <w:r w:rsidRPr="00E54204">
        <w:rPr>
          <w:rStyle w:val="FootnoteReference"/>
        </w:rPr>
        <w:footnoteRef/>
      </w:r>
      <w:r w:rsidRPr="00E54204">
        <w:t xml:space="preserve"> Kitto, </w:t>
      </w:r>
      <w:r w:rsidRPr="00E54204">
        <w:rPr>
          <w:i/>
        </w:rPr>
        <w:t>Cyclopedia</w:t>
      </w:r>
      <w:r w:rsidRPr="00E54204">
        <w:t>, 304.</w:t>
      </w:r>
    </w:p>
    <w:p w14:paraId="7359433A" w14:textId="77777777" w:rsidR="00E54204" w:rsidRPr="00E54204" w:rsidRDefault="00E54204" w:rsidP="00AA1903">
      <w:pPr>
        <w:pStyle w:val="FootnoteText"/>
      </w:pPr>
    </w:p>
  </w:footnote>
  <w:footnote w:id="23">
    <w:p w14:paraId="4274FA69" w14:textId="77777777" w:rsidR="00E54204" w:rsidRPr="00E54204" w:rsidRDefault="00E54204" w:rsidP="00AA1903">
      <w:pPr>
        <w:pStyle w:val="FootnoteText"/>
      </w:pPr>
      <w:r w:rsidRPr="00E54204">
        <w:rPr>
          <w:rStyle w:val="FootnoteReference"/>
        </w:rPr>
        <w:footnoteRef/>
      </w:r>
      <w:r w:rsidRPr="00E54204">
        <w:t xml:space="preserve"> Kitto, </w:t>
      </w:r>
      <w:r w:rsidRPr="00E54204">
        <w:rPr>
          <w:i/>
        </w:rPr>
        <w:t>Cyclopedia</w:t>
      </w:r>
      <w:r w:rsidRPr="00E54204">
        <w:t>, 304.</w:t>
      </w:r>
    </w:p>
    <w:p w14:paraId="1CB76F2E" w14:textId="77777777" w:rsidR="00E54204" w:rsidRPr="00E54204" w:rsidRDefault="00E54204" w:rsidP="00AA1903">
      <w:pPr>
        <w:pStyle w:val="FootnoteText"/>
      </w:pPr>
    </w:p>
  </w:footnote>
  <w:footnote w:id="24">
    <w:p w14:paraId="4430F3CE" w14:textId="77777777" w:rsidR="00E54204" w:rsidRPr="00E54204" w:rsidRDefault="00E54204" w:rsidP="00AA1903">
      <w:pPr>
        <w:pStyle w:val="FootnoteText"/>
      </w:pPr>
      <w:r w:rsidRPr="00E54204">
        <w:rPr>
          <w:rStyle w:val="FootnoteReference"/>
        </w:rPr>
        <w:footnoteRef/>
      </w:r>
      <w:r w:rsidRPr="00E54204">
        <w:t xml:space="preserve"> See John Lightfoot, </w:t>
      </w:r>
      <w:r w:rsidRPr="00E54204">
        <w:rPr>
          <w:rFonts w:cs="Times New Roman"/>
          <w:i/>
        </w:rPr>
        <w:t>Horæ Hebraicæ et Talmudicæ</w:t>
      </w:r>
      <w:r w:rsidRPr="00E54204">
        <w:rPr>
          <w:i/>
        </w:rPr>
        <w:t>; Hebrew and Talmudical exercitations upon the Gospels, the Acts, some chapters of St. Paul's Epistle to the Romans, and the First epistle to the Corinthians</w:t>
      </w:r>
      <w:r w:rsidRPr="00E54204">
        <w:t xml:space="preserve"> (Oxford: University Press, 1859), 81-83.</w:t>
      </w:r>
      <w:r w:rsidRPr="00E54204">
        <w:rPr>
          <w:i/>
        </w:rPr>
        <w:t xml:space="preserve">  </w:t>
      </w:r>
      <w:r w:rsidRPr="00E54204">
        <w:t>See also Matthew</w:t>
      </w:r>
      <w:r w:rsidRPr="00E54204">
        <w:rPr>
          <w:i/>
        </w:rPr>
        <w:t xml:space="preserve"> </w:t>
      </w:r>
      <w:r w:rsidRPr="00E54204">
        <w:t>3:17.</w:t>
      </w:r>
    </w:p>
    <w:p w14:paraId="2505F33D" w14:textId="77777777" w:rsidR="00E54204" w:rsidRPr="00E54204" w:rsidRDefault="00E54204" w:rsidP="00AA1903">
      <w:pPr>
        <w:pStyle w:val="FootnoteText"/>
      </w:pPr>
    </w:p>
  </w:footnote>
  <w:footnote w:id="25">
    <w:p w14:paraId="705136FC" w14:textId="77777777" w:rsidR="00E54204" w:rsidRPr="00E54204" w:rsidRDefault="00E54204" w:rsidP="00AA1903">
      <w:pPr>
        <w:pStyle w:val="FootnoteText"/>
      </w:pPr>
      <w:r w:rsidRPr="00E54204">
        <w:rPr>
          <w:rStyle w:val="FootnoteReference"/>
        </w:rPr>
        <w:footnoteRef/>
      </w:r>
      <w:r w:rsidRPr="00E54204">
        <w:t xml:space="preserve"> See Kitto, </w:t>
      </w:r>
      <w:r w:rsidRPr="00E54204">
        <w:rPr>
          <w:i/>
        </w:rPr>
        <w:t>Cyclopedia</w:t>
      </w:r>
      <w:r w:rsidRPr="00E54204">
        <w:t>, 305.</w:t>
      </w:r>
    </w:p>
    <w:p w14:paraId="76B75ADA" w14:textId="77777777" w:rsidR="00E54204" w:rsidRPr="00E54204" w:rsidRDefault="00E54204" w:rsidP="00AA1903">
      <w:pPr>
        <w:pStyle w:val="FootnoteText"/>
      </w:pPr>
    </w:p>
  </w:footnote>
  <w:footnote w:id="26">
    <w:p w14:paraId="73256064" w14:textId="77777777" w:rsidR="00E54204" w:rsidRPr="00E54204" w:rsidRDefault="00E54204" w:rsidP="00AA1903">
      <w:pPr>
        <w:pStyle w:val="FootnoteText"/>
      </w:pPr>
      <w:r w:rsidRPr="00E54204">
        <w:rPr>
          <w:rStyle w:val="FootnoteReference"/>
        </w:rPr>
        <w:footnoteRef/>
      </w:r>
      <w:r w:rsidRPr="00E54204">
        <w:t xml:space="preserve"> Actually the fourth grade, cf. Kitto, </w:t>
      </w:r>
      <w:r w:rsidRPr="00E54204">
        <w:rPr>
          <w:i/>
        </w:rPr>
        <w:t>Cyclopedia</w:t>
      </w:r>
      <w:r w:rsidRPr="00E54204">
        <w:t>, 304.</w:t>
      </w:r>
    </w:p>
    <w:p w14:paraId="7BEFDEA0" w14:textId="77777777" w:rsidR="00E54204" w:rsidRPr="00E54204" w:rsidRDefault="00E54204" w:rsidP="00AA1903">
      <w:pPr>
        <w:pStyle w:val="FootnoteText"/>
      </w:pPr>
    </w:p>
  </w:footnote>
  <w:footnote w:id="27">
    <w:p w14:paraId="3C3C9B88" w14:textId="77777777" w:rsidR="00E54204" w:rsidRPr="00E54204" w:rsidRDefault="00E54204" w:rsidP="00AA1903">
      <w:pPr>
        <w:pStyle w:val="FootnoteText"/>
      </w:pPr>
      <w:r w:rsidRPr="00E54204">
        <w:rPr>
          <w:rStyle w:val="FootnoteReference"/>
        </w:rPr>
        <w:footnoteRef/>
      </w:r>
      <w:r w:rsidRPr="00E54204">
        <w:t xml:space="preserve"> Society of Biblical Archaeology, </w:t>
      </w:r>
      <w:r w:rsidRPr="00E54204">
        <w:rPr>
          <w:i/>
        </w:rPr>
        <w:t xml:space="preserve">Transactions of the Society of Biblical Archaeology </w:t>
      </w:r>
      <w:r w:rsidRPr="00E54204">
        <w:t>vol. IX,</w:t>
      </w:r>
      <w:r w:rsidRPr="00E54204">
        <w:rPr>
          <w:i/>
        </w:rPr>
        <w:t xml:space="preserve"> </w:t>
      </w:r>
      <w:r w:rsidRPr="00E54204">
        <w:t>(London, 1893), 182-194.</w:t>
      </w:r>
    </w:p>
    <w:p w14:paraId="7C279089" w14:textId="77777777" w:rsidR="00E54204" w:rsidRPr="00E54204" w:rsidRDefault="00E54204" w:rsidP="00AA1903">
      <w:pPr>
        <w:pStyle w:val="FootnoteText"/>
      </w:pPr>
    </w:p>
  </w:footnote>
  <w:footnote w:id="28">
    <w:p w14:paraId="14E0D9B3" w14:textId="77777777" w:rsidR="00E54204" w:rsidRPr="00E54204" w:rsidRDefault="00E54204" w:rsidP="00AA1903">
      <w:pPr>
        <w:pStyle w:val="FootnoteText"/>
      </w:pPr>
      <w:r w:rsidRPr="00E54204">
        <w:rPr>
          <w:rStyle w:val="FootnoteReference"/>
        </w:rPr>
        <w:footnoteRef/>
      </w:r>
      <w:r w:rsidRPr="00E54204">
        <w:t xml:space="preserve"> The end of the article contains a list of passages in both the Bavli (Babylonian) and Yerushalmi (Jerusalem) Talmudim (plural of Talmud); Society, </w:t>
      </w:r>
      <w:r w:rsidRPr="00E54204">
        <w:rPr>
          <w:i/>
        </w:rPr>
        <w:t>Transactions</w:t>
      </w:r>
      <w:r w:rsidRPr="00E54204">
        <w:t>, 194.</w:t>
      </w:r>
    </w:p>
    <w:p w14:paraId="110C5A4F" w14:textId="77777777" w:rsidR="00E54204" w:rsidRPr="00E54204" w:rsidRDefault="00E54204" w:rsidP="00AA1903">
      <w:pPr>
        <w:pStyle w:val="FootnoteText"/>
      </w:pPr>
    </w:p>
  </w:footnote>
  <w:footnote w:id="29">
    <w:p w14:paraId="21F1379B" w14:textId="77777777" w:rsidR="00E54204" w:rsidRPr="00E54204" w:rsidRDefault="00E54204" w:rsidP="00AA1903">
      <w:pPr>
        <w:pStyle w:val="FootnoteText"/>
      </w:pPr>
      <w:r w:rsidRPr="00E54204">
        <w:rPr>
          <w:rStyle w:val="FootnoteReference"/>
        </w:rPr>
        <w:footnoteRef/>
      </w:r>
      <w:r w:rsidRPr="00E54204">
        <w:t xml:space="preserve"> See August Friedrich Gfr</w:t>
      </w:r>
      <w:r w:rsidRPr="00E54204">
        <w:rPr>
          <w:bCs/>
          <w:iCs/>
        </w:rPr>
        <w:t>ö</w:t>
      </w:r>
      <w:r w:rsidRPr="00E54204">
        <w:t xml:space="preserve">er, </w:t>
      </w:r>
      <w:r w:rsidRPr="00E54204">
        <w:rPr>
          <w:i/>
        </w:rPr>
        <w:t>Jahrhundert des Heils</w:t>
      </w:r>
      <w:r w:rsidRPr="00E54204">
        <w:t xml:space="preserve"> (Schweizerhart's Verlagshandlung, 1883), 175.  Louis also comments that this function resembles a later use employed by councils of the Catholic Church in judging heresies.</w:t>
      </w:r>
    </w:p>
    <w:p w14:paraId="3DEF03E9" w14:textId="77777777" w:rsidR="00E54204" w:rsidRPr="00E54204" w:rsidRDefault="00E54204" w:rsidP="00AA1903">
      <w:pPr>
        <w:pStyle w:val="FootnoteText"/>
      </w:pPr>
    </w:p>
  </w:footnote>
  <w:footnote w:id="30">
    <w:p w14:paraId="1575C9E1" w14:textId="77777777" w:rsidR="00E54204" w:rsidRPr="00E54204" w:rsidRDefault="00E54204" w:rsidP="00AA1903">
      <w:pPr>
        <w:pStyle w:val="FootnoteText"/>
      </w:pPr>
      <w:r w:rsidRPr="00E54204">
        <w:rPr>
          <w:rStyle w:val="FootnoteReference"/>
        </w:rPr>
        <w:footnoteRef/>
      </w:r>
      <w:r w:rsidRPr="00E54204">
        <w:t xml:space="preserve"> Society, </w:t>
      </w:r>
      <w:r w:rsidRPr="00E54204">
        <w:rPr>
          <w:i/>
        </w:rPr>
        <w:t>Transactions,</w:t>
      </w:r>
      <w:r w:rsidRPr="00E54204">
        <w:t xml:space="preserve"> 191.</w:t>
      </w:r>
    </w:p>
    <w:p w14:paraId="62CE741C" w14:textId="77777777" w:rsidR="00E54204" w:rsidRPr="00E54204" w:rsidRDefault="00E54204" w:rsidP="00AA1903">
      <w:pPr>
        <w:pStyle w:val="FootnoteText"/>
      </w:pPr>
    </w:p>
  </w:footnote>
  <w:footnote w:id="31">
    <w:p w14:paraId="254938EE" w14:textId="77777777" w:rsidR="00E54204" w:rsidRPr="00E54204" w:rsidRDefault="00E54204" w:rsidP="00AA1903">
      <w:pPr>
        <w:pStyle w:val="FootnoteText"/>
      </w:pPr>
      <w:r w:rsidRPr="00E54204">
        <w:rPr>
          <w:rStyle w:val="FootnoteReference"/>
        </w:rPr>
        <w:footnoteRef/>
      </w:r>
      <w:r w:rsidRPr="00E54204">
        <w:t xml:space="preserve"> The Gospel of Matthew contains two passages where the voice from heaven reiterates what it had previously announced; cf. Matthew 3:17 and 17:5.</w:t>
      </w:r>
    </w:p>
    <w:p w14:paraId="0519C560" w14:textId="77777777" w:rsidR="00E54204" w:rsidRPr="00E54204" w:rsidRDefault="00E54204" w:rsidP="00AA1903">
      <w:pPr>
        <w:pStyle w:val="FootnoteText"/>
      </w:pPr>
    </w:p>
  </w:footnote>
  <w:footnote w:id="32">
    <w:p w14:paraId="48B5AF38" w14:textId="77777777" w:rsidR="00E54204" w:rsidRPr="00E54204" w:rsidRDefault="00E54204" w:rsidP="00AA1903">
      <w:pPr>
        <w:pStyle w:val="FootnoteText"/>
      </w:pPr>
      <w:r w:rsidRPr="00E54204">
        <w:rPr>
          <w:rStyle w:val="FootnoteReference"/>
        </w:rPr>
        <w:footnoteRef/>
      </w:r>
      <w:r w:rsidRPr="00E54204">
        <w:t xml:space="preserve"> And I would include the redactors of the texts; Society, </w:t>
      </w:r>
      <w:r w:rsidRPr="00E54204">
        <w:rPr>
          <w:i/>
        </w:rPr>
        <w:t>Transactions,</w:t>
      </w:r>
      <w:r w:rsidRPr="00E54204">
        <w:t xml:space="preserve"> 185.</w:t>
      </w:r>
    </w:p>
    <w:p w14:paraId="7D0FCBC9" w14:textId="77777777" w:rsidR="00E54204" w:rsidRPr="00E54204" w:rsidRDefault="00E54204" w:rsidP="00AA1903">
      <w:pPr>
        <w:pStyle w:val="FootnoteText"/>
      </w:pPr>
    </w:p>
  </w:footnote>
  <w:footnote w:id="33">
    <w:p w14:paraId="6209D30E" w14:textId="77777777" w:rsidR="00E54204" w:rsidRPr="00E54204" w:rsidRDefault="00E54204" w:rsidP="00AA1903">
      <w:pPr>
        <w:pStyle w:val="FootnoteText"/>
      </w:pPr>
      <w:r w:rsidRPr="00E54204">
        <w:rPr>
          <w:rStyle w:val="FootnoteReference"/>
        </w:rPr>
        <w:footnoteRef/>
      </w:r>
      <w:r w:rsidRPr="00E54204">
        <w:t xml:space="preserve"> Which first appears in the Genesis 3:8, the account of Adam and Eve when they “heard the sound of the LORD in the garden...”</w:t>
      </w:r>
    </w:p>
    <w:p w14:paraId="2DF2B5CD" w14:textId="77777777" w:rsidR="00E54204" w:rsidRPr="00E54204" w:rsidRDefault="00E54204" w:rsidP="00AA1903">
      <w:pPr>
        <w:pStyle w:val="FootnoteText"/>
      </w:pPr>
    </w:p>
  </w:footnote>
  <w:footnote w:id="34">
    <w:p w14:paraId="53353AA9" w14:textId="77777777" w:rsidR="00E54204" w:rsidRPr="00E54204" w:rsidRDefault="00E54204" w:rsidP="00AA1903">
      <w:pPr>
        <w:pStyle w:val="FootnoteText"/>
      </w:pPr>
      <w:r w:rsidRPr="00E54204">
        <w:rPr>
          <w:rStyle w:val="FootnoteReference"/>
        </w:rPr>
        <w:footnoteRef/>
      </w:r>
      <w:r w:rsidRPr="00E54204">
        <w:t xml:space="preserve"> The first time the word </w:t>
      </w:r>
      <w:r w:rsidRPr="00E54204">
        <w:rPr>
          <w:rFonts w:cs="Times New Roman"/>
          <w:rtl/>
          <w:lang w:bidi="he-IL"/>
        </w:rPr>
        <w:t>קול</w:t>
      </w:r>
      <w:r w:rsidRPr="00E54204">
        <w:t xml:space="preserve"> is used in the Bible appears in Genesis 3:8, where it is usually translated “the voice of the LORD.”  Abbott takes this example to be a precedent for the construct: “the voice of the LORD,” in matters of judgment; cf. Edwin Abbot, </w:t>
      </w:r>
      <w:r w:rsidRPr="00E54204">
        <w:rPr>
          <w:i/>
        </w:rPr>
        <w:t>From Letter to Spirit,</w:t>
      </w:r>
      <w:r w:rsidRPr="00E54204">
        <w:t xml:space="preserve"> (London: A. and C. Black, 1903), 141.</w:t>
      </w:r>
    </w:p>
    <w:p w14:paraId="3C184048" w14:textId="77777777" w:rsidR="00E54204" w:rsidRPr="00E54204" w:rsidRDefault="00E54204" w:rsidP="00AA1903">
      <w:pPr>
        <w:pStyle w:val="FootnoteText"/>
      </w:pPr>
    </w:p>
  </w:footnote>
  <w:footnote w:id="35">
    <w:p w14:paraId="0966F0A9" w14:textId="77777777" w:rsidR="00E54204" w:rsidRPr="00E54204" w:rsidRDefault="00E54204" w:rsidP="00AA1903">
      <w:pPr>
        <w:pStyle w:val="FootnoteText"/>
      </w:pPr>
      <w:r w:rsidRPr="00E54204">
        <w:rPr>
          <w:rStyle w:val="FootnoteReference"/>
        </w:rPr>
        <w:footnoteRef/>
      </w:r>
      <w:r w:rsidRPr="00E54204">
        <w:t xml:space="preserve"> John Hyrcanus was a Maccabean ruler (ca. 134-104 BCE).  </w:t>
      </w:r>
    </w:p>
    <w:p w14:paraId="4D2B4974" w14:textId="77777777" w:rsidR="00E54204" w:rsidRPr="00E54204" w:rsidRDefault="00E54204" w:rsidP="00AA1903">
      <w:pPr>
        <w:pStyle w:val="FootnoteText"/>
      </w:pPr>
    </w:p>
  </w:footnote>
  <w:footnote w:id="36">
    <w:p w14:paraId="10ADBA9D" w14:textId="77777777" w:rsidR="00E54204" w:rsidRPr="00E54204" w:rsidRDefault="00E54204" w:rsidP="00AA1903">
      <w:pPr>
        <w:pStyle w:val="FootnoteText"/>
      </w:pPr>
      <w:r w:rsidRPr="00E54204">
        <w:rPr>
          <w:rStyle w:val="FootnoteReference"/>
        </w:rPr>
        <w:footnoteRef/>
      </w:r>
      <w:r w:rsidRPr="00E54204">
        <w:t xml:space="preserve"> Abbot, </w:t>
      </w:r>
      <w:r w:rsidRPr="00E54204">
        <w:rPr>
          <w:i/>
        </w:rPr>
        <w:t xml:space="preserve">From Letter, </w:t>
      </w:r>
      <w:r w:rsidRPr="00E54204">
        <w:t>141.</w:t>
      </w:r>
    </w:p>
    <w:p w14:paraId="73DCD9D8" w14:textId="77777777" w:rsidR="00E54204" w:rsidRPr="00E54204" w:rsidRDefault="00E54204" w:rsidP="00AA1903">
      <w:pPr>
        <w:pStyle w:val="FootnoteText"/>
      </w:pPr>
    </w:p>
  </w:footnote>
  <w:footnote w:id="37">
    <w:p w14:paraId="7A9E383D" w14:textId="77777777" w:rsidR="00E54204" w:rsidRPr="00E54204" w:rsidRDefault="00E54204" w:rsidP="00AA1903">
      <w:pPr>
        <w:pStyle w:val="FootnoteText"/>
      </w:pPr>
      <w:r w:rsidRPr="00E54204">
        <w:rPr>
          <w:rStyle w:val="FootnoteReference"/>
        </w:rPr>
        <w:footnoteRef/>
      </w:r>
      <w:r w:rsidRPr="00E54204">
        <w:t xml:space="preserve"> Following Homer’s thought, a “pheme” or winged goddess, flew to the camp with the sudden news; cf. Herod. IX, 100-101.  Quoted by Abbott, </w:t>
      </w:r>
      <w:r w:rsidRPr="00E54204">
        <w:rPr>
          <w:i/>
        </w:rPr>
        <w:t>From Letter</w:t>
      </w:r>
      <w:r w:rsidRPr="00E54204">
        <w:t>, 142.</w:t>
      </w:r>
    </w:p>
    <w:p w14:paraId="22E07745" w14:textId="77777777" w:rsidR="00E54204" w:rsidRPr="00E54204" w:rsidRDefault="00E54204" w:rsidP="00AA1903">
      <w:pPr>
        <w:pStyle w:val="FootnoteText"/>
      </w:pPr>
    </w:p>
  </w:footnote>
  <w:footnote w:id="38">
    <w:p w14:paraId="184C5654" w14:textId="77777777" w:rsidR="00E54204" w:rsidRPr="00E54204" w:rsidRDefault="00E54204" w:rsidP="00AA1903">
      <w:pPr>
        <w:pStyle w:val="FootnoteText"/>
      </w:pPr>
      <w:r w:rsidRPr="00E54204">
        <w:rPr>
          <w:rStyle w:val="FootnoteReference"/>
        </w:rPr>
        <w:footnoteRef/>
      </w:r>
      <w:r w:rsidRPr="00E54204">
        <w:t xml:space="preserve"> B. Yev. 16:6.</w:t>
      </w:r>
    </w:p>
    <w:p w14:paraId="43989A33" w14:textId="77777777" w:rsidR="00E54204" w:rsidRPr="00E54204" w:rsidRDefault="00E54204" w:rsidP="00AA1903">
      <w:pPr>
        <w:pStyle w:val="FootnoteText"/>
      </w:pPr>
    </w:p>
  </w:footnote>
  <w:footnote w:id="39">
    <w:p w14:paraId="50606D85" w14:textId="77777777" w:rsidR="00E54204" w:rsidRPr="00E54204" w:rsidRDefault="00E54204">
      <w:pPr>
        <w:pStyle w:val="FootnoteText"/>
      </w:pPr>
      <w:r w:rsidRPr="00E54204">
        <w:rPr>
          <w:rStyle w:val="FootnoteReference"/>
        </w:rPr>
        <w:footnoteRef/>
      </w:r>
      <w:r w:rsidRPr="00E54204">
        <w:t xml:space="preserve">See B. </w:t>
      </w:r>
      <w:r w:rsidRPr="00E54204">
        <w:rPr>
          <w:i/>
        </w:rPr>
        <w:t xml:space="preserve">Sotah </w:t>
      </w:r>
      <w:r w:rsidRPr="00E54204">
        <w:t xml:space="preserve">2a, </w:t>
      </w:r>
      <w:r w:rsidRPr="00E54204">
        <w:rPr>
          <w:i/>
        </w:rPr>
        <w:t xml:space="preserve">Sanhedrin </w:t>
      </w:r>
      <w:r w:rsidRPr="00E54204">
        <w:t xml:space="preserve">22a. </w:t>
      </w:r>
    </w:p>
    <w:p w14:paraId="1E565CBD" w14:textId="77777777" w:rsidR="00E54204" w:rsidRPr="00E54204" w:rsidRDefault="00E54204">
      <w:pPr>
        <w:pStyle w:val="FootnoteText"/>
      </w:pPr>
    </w:p>
  </w:footnote>
  <w:footnote w:id="40">
    <w:p w14:paraId="723074D5" w14:textId="77777777" w:rsidR="00E54204" w:rsidRPr="00E54204" w:rsidRDefault="00E54204" w:rsidP="00AA1903">
      <w:pPr>
        <w:pStyle w:val="FootnoteText"/>
      </w:pPr>
      <w:r w:rsidRPr="00E54204">
        <w:rPr>
          <w:rStyle w:val="FootnoteReference"/>
        </w:rPr>
        <w:footnoteRef/>
      </w:r>
      <w:r w:rsidRPr="00E54204">
        <w:t xml:space="preserve"> The sages believed that there were seventy languages in the world.</w:t>
      </w:r>
    </w:p>
    <w:p w14:paraId="47FEF5BB" w14:textId="77777777" w:rsidR="00E54204" w:rsidRPr="00E54204" w:rsidRDefault="00E54204" w:rsidP="00AA1903">
      <w:pPr>
        <w:pStyle w:val="FootnoteText"/>
      </w:pPr>
    </w:p>
  </w:footnote>
  <w:footnote w:id="41">
    <w:p w14:paraId="1B25E592" w14:textId="77777777" w:rsidR="00E54204" w:rsidRPr="00E54204" w:rsidRDefault="00E54204" w:rsidP="00AA1903">
      <w:pPr>
        <w:pStyle w:val="FootnoteText"/>
      </w:pPr>
      <w:r w:rsidRPr="00E54204">
        <w:rPr>
          <w:rStyle w:val="FootnoteReference"/>
        </w:rPr>
        <w:footnoteRef/>
      </w:r>
      <w:r w:rsidRPr="00E54204">
        <w:t xml:space="preserve"> See B. </w:t>
      </w:r>
      <w:r w:rsidRPr="00E54204">
        <w:rPr>
          <w:i/>
        </w:rPr>
        <w:t xml:space="preserve">Yoma </w:t>
      </w:r>
      <w:r w:rsidRPr="00E54204">
        <w:t xml:space="preserve">19b.  Marcus Jastrow, </w:t>
      </w:r>
      <w:r w:rsidRPr="00E54204">
        <w:rPr>
          <w:i/>
        </w:rPr>
        <w:t>Dictionary of Targumim and Midrashic Literature</w:t>
      </w:r>
      <w:r w:rsidRPr="00E54204">
        <w:t xml:space="preserve"> (New York: Pardes, 1950), 330.</w:t>
      </w:r>
    </w:p>
    <w:p w14:paraId="17E4D554" w14:textId="77777777" w:rsidR="00E54204" w:rsidRPr="00E54204" w:rsidRDefault="00E54204" w:rsidP="00AA1903">
      <w:pPr>
        <w:pStyle w:val="FootnoteText"/>
      </w:pPr>
    </w:p>
  </w:footnote>
  <w:footnote w:id="42">
    <w:p w14:paraId="40D8AF56" w14:textId="77777777" w:rsidR="00E54204" w:rsidRPr="00E54204" w:rsidRDefault="00E54204" w:rsidP="00AA1903">
      <w:pPr>
        <w:pStyle w:val="FootnoteText"/>
      </w:pPr>
      <w:r w:rsidRPr="00E54204">
        <w:rPr>
          <w:rStyle w:val="FootnoteReference"/>
        </w:rPr>
        <w:footnoteRef/>
      </w:r>
      <w:r w:rsidRPr="00E54204">
        <w:t xml:space="preserve"> The article cites the highly-relevant passage of God’s revelation at Sinai, where Moses says to the people “you heard the voice of the words, but saw no similitude; you only heard a voice” (Deut. 4:12).</w:t>
      </w:r>
    </w:p>
    <w:p w14:paraId="53CB5C72" w14:textId="77777777" w:rsidR="00E54204" w:rsidRPr="00E54204" w:rsidRDefault="00E54204" w:rsidP="00AA1903">
      <w:pPr>
        <w:pStyle w:val="FootnoteText"/>
      </w:pPr>
    </w:p>
  </w:footnote>
  <w:footnote w:id="43">
    <w:p w14:paraId="3BA651F6" w14:textId="77777777" w:rsidR="00E54204" w:rsidRPr="00E54204" w:rsidRDefault="00E54204" w:rsidP="00AA1903">
      <w:pPr>
        <w:pStyle w:val="FootnoteText"/>
      </w:pPr>
      <w:r w:rsidRPr="00E54204">
        <w:rPr>
          <w:rStyle w:val="FootnoteReference"/>
        </w:rPr>
        <w:footnoteRef/>
      </w:r>
      <w:r w:rsidRPr="00E54204">
        <w:t xml:space="preserve"> Ezekiel 1:28.</w:t>
      </w:r>
    </w:p>
    <w:p w14:paraId="76A32E52" w14:textId="77777777" w:rsidR="00E54204" w:rsidRPr="00E54204" w:rsidRDefault="00E54204" w:rsidP="00AA1903">
      <w:pPr>
        <w:pStyle w:val="FootnoteText"/>
      </w:pPr>
    </w:p>
  </w:footnote>
  <w:footnote w:id="44">
    <w:p w14:paraId="6D34E577" w14:textId="77777777" w:rsidR="00E54204" w:rsidRPr="00E54204" w:rsidRDefault="00E54204" w:rsidP="00AA1903">
      <w:pPr>
        <w:pStyle w:val="FootnoteText"/>
      </w:pPr>
      <w:r w:rsidRPr="00E54204">
        <w:rPr>
          <w:rStyle w:val="FootnoteReference"/>
        </w:rPr>
        <w:footnoteRef/>
      </w:r>
      <w:r w:rsidRPr="00E54204">
        <w:t xml:space="preserve"> 1 Kings 19:12-13.</w:t>
      </w:r>
    </w:p>
    <w:p w14:paraId="2153F2CE" w14:textId="77777777" w:rsidR="00E54204" w:rsidRPr="00E54204" w:rsidRDefault="00E54204" w:rsidP="00AA1903">
      <w:pPr>
        <w:pStyle w:val="FootnoteText"/>
      </w:pPr>
    </w:p>
  </w:footnote>
  <w:footnote w:id="45">
    <w:p w14:paraId="2C9683F5" w14:textId="77777777" w:rsidR="00E54204" w:rsidRPr="00E54204" w:rsidRDefault="00E54204" w:rsidP="00AA1903">
      <w:pPr>
        <w:pStyle w:val="FootnoteText"/>
      </w:pPr>
      <w:r w:rsidRPr="00E54204">
        <w:rPr>
          <w:rStyle w:val="FootnoteReference"/>
        </w:rPr>
        <w:footnoteRef/>
      </w:r>
      <w:r w:rsidRPr="00E54204">
        <w:t xml:space="preserve"> See Jer. 25:30, Joel 4:16-17, and Amos 1:2.</w:t>
      </w:r>
    </w:p>
    <w:p w14:paraId="25510D8C" w14:textId="77777777" w:rsidR="00E54204" w:rsidRPr="00E54204" w:rsidRDefault="00E54204" w:rsidP="00AA1903">
      <w:pPr>
        <w:pStyle w:val="FootnoteText"/>
      </w:pPr>
    </w:p>
  </w:footnote>
  <w:footnote w:id="46">
    <w:p w14:paraId="31816889" w14:textId="77777777" w:rsidR="00E54204" w:rsidRPr="00E54204" w:rsidRDefault="00E54204" w:rsidP="00AA1903">
      <w:pPr>
        <w:pStyle w:val="FootnoteText"/>
      </w:pPr>
      <w:r w:rsidRPr="00E54204">
        <w:rPr>
          <w:rStyle w:val="FootnoteReference"/>
        </w:rPr>
        <w:footnoteRef/>
      </w:r>
      <w:r w:rsidRPr="00E54204">
        <w:t xml:space="preserve"> See Targum Lamentations 3:38, found in Kohler and Blau’s article, “Bat Kol”; cf. Isidore Singer and Cyrus Adler, </w:t>
      </w:r>
      <w:r w:rsidRPr="00E54204">
        <w:rPr>
          <w:i/>
        </w:rPr>
        <w:t xml:space="preserve">Jewish Encyclopedia </w:t>
      </w:r>
      <w:r w:rsidRPr="00E54204">
        <w:t>(New York: Funk &amp; Wagnalls Co., 1901), 588-592.</w:t>
      </w:r>
    </w:p>
    <w:p w14:paraId="4C941DD8" w14:textId="77777777" w:rsidR="00E54204" w:rsidRPr="00E54204" w:rsidRDefault="00E54204" w:rsidP="00AA1903">
      <w:pPr>
        <w:pStyle w:val="FootnoteText"/>
      </w:pPr>
    </w:p>
  </w:footnote>
  <w:footnote w:id="47">
    <w:p w14:paraId="6949CBA5" w14:textId="77777777" w:rsidR="00E54204" w:rsidRPr="00E54204" w:rsidRDefault="00E54204" w:rsidP="00AA1903">
      <w:pPr>
        <w:pStyle w:val="FootnoteText"/>
      </w:pPr>
      <w:r w:rsidRPr="00E54204">
        <w:rPr>
          <w:rStyle w:val="FootnoteReference"/>
        </w:rPr>
        <w:footnoteRef/>
      </w:r>
      <w:r w:rsidRPr="00E54204">
        <w:t xml:space="preserve"> Isidore and Adler, </w:t>
      </w:r>
      <w:r w:rsidRPr="00E54204">
        <w:rPr>
          <w:i/>
        </w:rPr>
        <w:t>Jewish Encyclopedia</w:t>
      </w:r>
      <w:r w:rsidRPr="00E54204">
        <w:t>, 589.</w:t>
      </w:r>
    </w:p>
    <w:p w14:paraId="4F167386" w14:textId="77777777" w:rsidR="00E54204" w:rsidRPr="00E54204" w:rsidRDefault="00E54204" w:rsidP="00AA1903">
      <w:pPr>
        <w:pStyle w:val="FootnoteText"/>
      </w:pPr>
    </w:p>
  </w:footnote>
  <w:footnote w:id="48">
    <w:p w14:paraId="2B5ABBD0" w14:textId="77777777" w:rsidR="00E54204" w:rsidRPr="00E54204" w:rsidRDefault="00E54204" w:rsidP="00AA1903">
      <w:pPr>
        <w:pStyle w:val="FootnoteText"/>
      </w:pPr>
      <w:r w:rsidRPr="00E54204">
        <w:rPr>
          <w:rStyle w:val="FootnoteReference"/>
        </w:rPr>
        <w:footnoteRef/>
      </w:r>
      <w:r w:rsidRPr="00E54204">
        <w:t xml:space="preserve"> See Isidore and Adler, </w:t>
      </w:r>
      <w:r w:rsidRPr="00E54204">
        <w:rPr>
          <w:i/>
        </w:rPr>
        <w:t>Jewish Encyclopedia</w:t>
      </w:r>
      <w:r w:rsidRPr="00E54204">
        <w:t>, 592.</w:t>
      </w:r>
      <w:r w:rsidRPr="00E54204">
        <w:rPr>
          <w:i/>
        </w:rPr>
        <w:t xml:space="preserve">  </w:t>
      </w:r>
      <w:r w:rsidRPr="00E54204">
        <w:t>Compare with the book of Revelation (19:1) where a loud voice from heaven leads a song of praise.</w:t>
      </w:r>
    </w:p>
    <w:p w14:paraId="52E3F620" w14:textId="77777777" w:rsidR="00E54204" w:rsidRPr="00E54204" w:rsidRDefault="00E54204" w:rsidP="00AA1903">
      <w:pPr>
        <w:pStyle w:val="FootnoteText"/>
      </w:pPr>
    </w:p>
  </w:footnote>
  <w:footnote w:id="49">
    <w:p w14:paraId="0E66021E" w14:textId="77777777" w:rsidR="00E54204" w:rsidRPr="00E54204" w:rsidRDefault="00E54204" w:rsidP="00AA1903">
      <w:pPr>
        <w:pStyle w:val="FootnoteText"/>
      </w:pPr>
      <w:r w:rsidRPr="00E54204">
        <w:rPr>
          <w:rStyle w:val="FootnoteReference"/>
        </w:rPr>
        <w:footnoteRef/>
      </w:r>
      <w:r w:rsidRPr="00E54204">
        <w:t xml:space="preserve"> George Foot Moore defines it as “a metonymy for God;” also understood as God’s abiding presence; cf. George Foot Moore, </w:t>
      </w:r>
      <w:r w:rsidRPr="00E54204">
        <w:rPr>
          <w:i/>
        </w:rPr>
        <w:t>Judaism in the First Centuries of the Christian Era</w:t>
      </w:r>
      <w:r w:rsidRPr="00E54204">
        <w:t xml:space="preserve"> </w:t>
      </w:r>
      <w:r w:rsidRPr="00E54204">
        <w:rPr>
          <w:i/>
        </w:rPr>
        <w:t xml:space="preserve">the Age of the Tannaim </w:t>
      </w:r>
      <w:r w:rsidRPr="00E54204">
        <w:t xml:space="preserve">vol. I (New York: Shocken Books, 1927), 434-435. </w:t>
      </w:r>
    </w:p>
    <w:p w14:paraId="7A6C003A" w14:textId="77777777" w:rsidR="00E54204" w:rsidRPr="00E54204" w:rsidRDefault="00E54204" w:rsidP="00AA1903">
      <w:pPr>
        <w:pStyle w:val="FootnoteText"/>
      </w:pPr>
    </w:p>
  </w:footnote>
  <w:footnote w:id="50">
    <w:p w14:paraId="1C51AE47" w14:textId="77777777" w:rsidR="00E54204" w:rsidRPr="00E54204" w:rsidRDefault="00E54204" w:rsidP="00AA1903">
      <w:pPr>
        <w:pStyle w:val="FootnoteText"/>
      </w:pPr>
      <w:r w:rsidRPr="00E54204">
        <w:rPr>
          <w:rStyle w:val="FootnoteReference"/>
        </w:rPr>
        <w:footnoteRef/>
      </w:r>
      <w:r w:rsidRPr="00E54204">
        <w:t xml:space="preserve"> See </w:t>
      </w:r>
      <w:r w:rsidRPr="00E54204">
        <w:rPr>
          <w:i/>
        </w:rPr>
        <w:t>Canticles Rabbah</w:t>
      </w:r>
      <w:r w:rsidRPr="00E54204">
        <w:t xml:space="preserve"> 8:14.</w:t>
      </w:r>
    </w:p>
    <w:p w14:paraId="0497A15A" w14:textId="77777777" w:rsidR="00E54204" w:rsidRPr="00E54204" w:rsidRDefault="00E54204" w:rsidP="00AA1903">
      <w:pPr>
        <w:pStyle w:val="FootnoteText"/>
      </w:pPr>
    </w:p>
  </w:footnote>
  <w:footnote w:id="51">
    <w:p w14:paraId="4815BF14" w14:textId="77777777" w:rsidR="00E54204" w:rsidRPr="00E54204" w:rsidRDefault="00E54204" w:rsidP="009E4BBB">
      <w:pPr>
        <w:pStyle w:val="FootnoteText"/>
      </w:pPr>
      <w:r w:rsidRPr="00E54204">
        <w:rPr>
          <w:rStyle w:val="FootnoteReference"/>
        </w:rPr>
        <w:footnoteRef/>
      </w:r>
      <w:r w:rsidRPr="00E54204">
        <w:t xml:space="preserve"> Moore, </w:t>
      </w:r>
      <w:r w:rsidRPr="00E54204">
        <w:rPr>
          <w:i/>
        </w:rPr>
        <w:t>Judaism</w:t>
      </w:r>
      <w:r w:rsidRPr="00E54204">
        <w:t>, vol. II, 50 (of index).</w:t>
      </w:r>
    </w:p>
    <w:p w14:paraId="055043C0" w14:textId="77777777" w:rsidR="00E54204" w:rsidRPr="00E54204" w:rsidRDefault="00E54204" w:rsidP="009E4BBB">
      <w:pPr>
        <w:pStyle w:val="FootnoteText"/>
      </w:pPr>
    </w:p>
  </w:footnote>
  <w:footnote w:id="52">
    <w:p w14:paraId="7343DC49" w14:textId="77777777" w:rsidR="00E54204" w:rsidRPr="00E54204" w:rsidRDefault="00E54204" w:rsidP="009E4BBB">
      <w:pPr>
        <w:pStyle w:val="FootnoteText"/>
      </w:pPr>
      <w:r w:rsidRPr="00E54204">
        <w:rPr>
          <w:rStyle w:val="FootnoteReference"/>
        </w:rPr>
        <w:footnoteRef/>
      </w:r>
      <w:r w:rsidRPr="00E54204">
        <w:t xml:space="preserve"> Moore, </w:t>
      </w:r>
      <w:r w:rsidRPr="00E54204">
        <w:rPr>
          <w:i/>
        </w:rPr>
        <w:t>Judaism</w:t>
      </w:r>
      <w:r w:rsidRPr="00E54204">
        <w:t>, vol. I, 422.</w:t>
      </w:r>
    </w:p>
    <w:p w14:paraId="0D66DDED" w14:textId="77777777" w:rsidR="00E54204" w:rsidRPr="00E54204" w:rsidRDefault="00E54204" w:rsidP="009E4BBB">
      <w:pPr>
        <w:pStyle w:val="FootnoteText"/>
      </w:pPr>
    </w:p>
  </w:footnote>
  <w:footnote w:id="53">
    <w:p w14:paraId="3E5C74E3" w14:textId="77777777" w:rsidR="00E54204" w:rsidRPr="00E54204" w:rsidRDefault="00E54204" w:rsidP="009E4BBB">
      <w:pPr>
        <w:pStyle w:val="FootnoteText"/>
      </w:pPr>
      <w:r w:rsidRPr="00E54204">
        <w:rPr>
          <w:rStyle w:val="FootnoteReference"/>
        </w:rPr>
        <w:footnoteRef/>
      </w:r>
      <w:r w:rsidRPr="00E54204">
        <w:t xml:space="preserve"> See index of Moore, </w:t>
      </w:r>
      <w:r w:rsidRPr="00E54204">
        <w:rPr>
          <w:i/>
        </w:rPr>
        <w:t>Judaism</w:t>
      </w:r>
      <w:r w:rsidRPr="00E54204">
        <w:t>, vol. I, 127.  Similarly to what other scholars have opined, Moore considers this qualifying term to denote a secondary or derivative sound.  Such writes the Tosafot on Sanhedrin 11a.  For the idea of a faint sound he references 1 Kings 19:12, where Elijah discerns God’s presence through a small voice.</w:t>
      </w:r>
    </w:p>
    <w:p w14:paraId="7BFCED3F" w14:textId="77777777" w:rsidR="00E54204" w:rsidRPr="00E54204" w:rsidRDefault="00E54204" w:rsidP="009E4BBB">
      <w:pPr>
        <w:pStyle w:val="FootnoteText"/>
      </w:pPr>
    </w:p>
  </w:footnote>
  <w:footnote w:id="54">
    <w:p w14:paraId="31268059" w14:textId="77777777" w:rsidR="00E54204" w:rsidRPr="00E54204" w:rsidRDefault="00E54204" w:rsidP="009E4BBB">
      <w:pPr>
        <w:pStyle w:val="FootnoteText"/>
      </w:pPr>
      <w:r w:rsidRPr="00E54204">
        <w:rPr>
          <w:rStyle w:val="FootnoteReference"/>
        </w:rPr>
        <w:footnoteRef/>
      </w:r>
      <w:r w:rsidRPr="00E54204">
        <w:t xml:space="preserve"> Moore, </w:t>
      </w:r>
      <w:r w:rsidRPr="00E54204">
        <w:rPr>
          <w:i/>
        </w:rPr>
        <w:t>Judaism</w:t>
      </w:r>
      <w:r w:rsidRPr="00E54204">
        <w:t xml:space="preserve">, vol. I, 127.  One of the texts he cites in support of this view is from </w:t>
      </w:r>
      <w:r w:rsidRPr="00E54204">
        <w:rPr>
          <w:i/>
        </w:rPr>
        <w:t>Exodus Rabbah</w:t>
      </w:r>
      <w:r w:rsidRPr="00E54204">
        <w:t xml:space="preserve"> 29, 9, where the writer affirms that God’s voice has no echo (</w:t>
      </w:r>
      <w:r w:rsidRPr="00E54204">
        <w:rPr>
          <w:i/>
        </w:rPr>
        <w:t>bat</w:t>
      </w:r>
      <w:r w:rsidRPr="00E54204">
        <w:t>) unlike men for the purposes of not misattributing his sovereign power to another being.</w:t>
      </w:r>
    </w:p>
    <w:p w14:paraId="2D16B6EB" w14:textId="77777777" w:rsidR="00E54204" w:rsidRPr="00E54204" w:rsidRDefault="00E54204" w:rsidP="009E4BBB">
      <w:pPr>
        <w:pStyle w:val="FootnoteText"/>
      </w:pPr>
    </w:p>
  </w:footnote>
  <w:footnote w:id="55">
    <w:p w14:paraId="5B740E04" w14:textId="77777777" w:rsidR="00E54204" w:rsidRPr="00E54204" w:rsidRDefault="00E54204" w:rsidP="00AA1903">
      <w:pPr>
        <w:pStyle w:val="FootnoteText"/>
      </w:pPr>
      <w:r w:rsidRPr="00E54204">
        <w:rPr>
          <w:rStyle w:val="FootnoteReference"/>
        </w:rPr>
        <w:footnoteRef/>
      </w:r>
      <w:r w:rsidRPr="00E54204">
        <w:t xml:space="preserve"> They were two major schools of law from the first century BCE to the first century CE, who often debated points of jurisprudence with one another as found in the Talmud.</w:t>
      </w:r>
    </w:p>
    <w:p w14:paraId="0E4A9595" w14:textId="77777777" w:rsidR="00E54204" w:rsidRPr="00E54204" w:rsidRDefault="00E54204" w:rsidP="00AA1903">
      <w:pPr>
        <w:pStyle w:val="FootnoteText"/>
      </w:pPr>
    </w:p>
  </w:footnote>
  <w:footnote w:id="56">
    <w:p w14:paraId="5E593EB5" w14:textId="77777777" w:rsidR="00E54204" w:rsidRPr="00E54204" w:rsidRDefault="00E54204" w:rsidP="00AA1903">
      <w:pPr>
        <w:pStyle w:val="FootnoteText"/>
      </w:pPr>
      <w:r w:rsidRPr="00E54204">
        <w:rPr>
          <w:rStyle w:val="FootnoteReference"/>
        </w:rPr>
        <w:footnoteRef/>
      </w:r>
      <w:r w:rsidRPr="00E54204">
        <w:t xml:space="preserve"> He dates this event to the first-generation </w:t>
      </w:r>
      <w:r w:rsidRPr="00E54204">
        <w:rPr>
          <w:i/>
        </w:rPr>
        <w:t>Tannaim</w:t>
      </w:r>
      <w:r w:rsidRPr="00E54204">
        <w:t xml:space="preserve"> (70-90 CE); Alexander Guttmann, </w:t>
      </w:r>
      <w:r w:rsidRPr="00E54204">
        <w:rPr>
          <w:i/>
        </w:rPr>
        <w:t xml:space="preserve">The Significance of Miracles in Talmudic Judaism </w:t>
      </w:r>
      <w:r w:rsidRPr="00E54204">
        <w:t>(</w:t>
      </w:r>
      <w:r w:rsidRPr="00E54204">
        <w:rPr>
          <w:bCs/>
        </w:rPr>
        <w:t>Cincinnati: Hebrew Union College Annual, 1947), 384</w:t>
      </w:r>
      <w:r w:rsidRPr="00E54204">
        <w:t>.</w:t>
      </w:r>
    </w:p>
    <w:p w14:paraId="20C78DD5" w14:textId="77777777" w:rsidR="00E54204" w:rsidRPr="00E54204" w:rsidRDefault="00E54204" w:rsidP="00AA1903">
      <w:pPr>
        <w:pStyle w:val="FootnoteText"/>
      </w:pPr>
    </w:p>
  </w:footnote>
  <w:footnote w:id="57">
    <w:p w14:paraId="2298E352" w14:textId="77777777" w:rsidR="00E54204" w:rsidRPr="00E54204" w:rsidRDefault="00E54204" w:rsidP="00AA1903">
      <w:pPr>
        <w:pStyle w:val="FootnoteText"/>
      </w:pPr>
      <w:r w:rsidRPr="00E54204">
        <w:rPr>
          <w:rStyle w:val="FootnoteReference"/>
        </w:rPr>
        <w:footnoteRef/>
      </w:r>
      <w:r w:rsidRPr="00E54204">
        <w:t xml:space="preserve"> See Mishnah Yev. 16:6, Tosefta 14:7, J. Nazikim 51 b.</w:t>
      </w:r>
    </w:p>
    <w:p w14:paraId="5E558A71" w14:textId="77777777" w:rsidR="00E54204" w:rsidRPr="00E54204" w:rsidRDefault="00E54204" w:rsidP="00AA1903">
      <w:pPr>
        <w:pStyle w:val="FootnoteText"/>
      </w:pPr>
    </w:p>
  </w:footnote>
  <w:footnote w:id="58">
    <w:p w14:paraId="12AD0019" w14:textId="77777777" w:rsidR="00E54204" w:rsidRPr="00E54204" w:rsidRDefault="00E54204" w:rsidP="00AA1903">
      <w:pPr>
        <w:pStyle w:val="FootnoteText"/>
      </w:pPr>
      <w:r w:rsidRPr="00E54204">
        <w:rPr>
          <w:rStyle w:val="FootnoteReference"/>
        </w:rPr>
        <w:footnoteRef/>
      </w:r>
      <w:r w:rsidRPr="00E54204">
        <w:t xml:space="preserve"> Guttmann notes that in the case of Hillel and Shammai the </w:t>
      </w:r>
      <w:r w:rsidRPr="00E54204">
        <w:rPr>
          <w:i/>
        </w:rPr>
        <w:t>bat kol</w:t>
      </w:r>
      <w:r w:rsidRPr="00E54204">
        <w:t xml:space="preserve"> followed the majority opinion while in the incident of the “oven of Aknai” (i.e. R. Eliezer’s excommunication) it supported the minority opinion.  However, he notes that it is peculiar that if it was accepted as evidence before, and later when endorsing an individual, it was an offense to the authorities; cf. Guttmann, </w:t>
      </w:r>
      <w:r w:rsidRPr="00E54204">
        <w:rPr>
          <w:i/>
        </w:rPr>
        <w:t>The Significance</w:t>
      </w:r>
      <w:r w:rsidRPr="00E54204">
        <w:t>, 384.</w:t>
      </w:r>
    </w:p>
    <w:p w14:paraId="11E979E7" w14:textId="77777777" w:rsidR="00E54204" w:rsidRPr="00E54204" w:rsidRDefault="00E54204" w:rsidP="00AA1903">
      <w:pPr>
        <w:pStyle w:val="FootnoteText"/>
      </w:pPr>
    </w:p>
  </w:footnote>
  <w:footnote w:id="59">
    <w:p w14:paraId="44F65CF2" w14:textId="77777777" w:rsidR="00E54204" w:rsidRPr="00E54204" w:rsidRDefault="00E54204" w:rsidP="00AA1903">
      <w:pPr>
        <w:pStyle w:val="FootnoteText"/>
      </w:pPr>
      <w:r w:rsidRPr="00E54204">
        <w:rPr>
          <w:rStyle w:val="FootnoteReference"/>
        </w:rPr>
        <w:footnoteRef/>
      </w:r>
      <w:r w:rsidRPr="00E54204">
        <w:t xml:space="preserve"> Around this date is when scholars believe the rabbis convened at Yavneh.  Avram Topper wrote that some posit that the rabbis ejected all non-rabbinic Jews from the fold at this meeting; cf. Adam H. Becker and Annette Yoshiko Reed, </w:t>
      </w:r>
      <w:r w:rsidRPr="00E54204">
        <w:rPr>
          <w:rFonts w:hint="eastAsia"/>
          <w:bCs/>
          <w:i/>
          <w:iCs/>
        </w:rPr>
        <w:t>The Ways That Never Parted: Jews and Christians in Late Antiquity and the Early Middle Ages</w:t>
      </w:r>
      <w:r w:rsidRPr="00E54204">
        <w:t xml:space="preserve"> (</w:t>
      </w:r>
      <w:r w:rsidRPr="00E54204">
        <w:rPr>
          <w:rFonts w:hint="eastAsia"/>
          <w:bCs/>
        </w:rPr>
        <w:t>Tübingen: Mohr Siebeck, 2003</w:t>
      </w:r>
      <w:r w:rsidRPr="00E54204">
        <w:rPr>
          <w:bCs/>
        </w:rPr>
        <w:t>), 183.</w:t>
      </w:r>
      <w:r w:rsidRPr="00E54204">
        <w:t xml:space="preserve">  S.D. Cohen suggested that dissenters were absorbed through a more amicable process of “agreeing to disagree;” cf. S.D. Cohen, “The Significance of Yavneh: Pharisees, Rabbis, and the End of Jewish Sectarianism” </w:t>
      </w:r>
      <w:r w:rsidRPr="00E54204">
        <w:rPr>
          <w:i/>
        </w:rPr>
        <w:t>Hebrew Union College Annual,</w:t>
      </w:r>
      <w:r w:rsidRPr="00E54204">
        <w:t xml:space="preserve"> 55 (1984), 28, n.2.</w:t>
      </w:r>
    </w:p>
    <w:p w14:paraId="3A589B70" w14:textId="77777777" w:rsidR="00E54204" w:rsidRPr="00E54204" w:rsidRDefault="00E54204" w:rsidP="00AA1903">
      <w:pPr>
        <w:pStyle w:val="FootnoteText"/>
        <w:rPr>
          <w:bCs/>
          <w:i/>
          <w:iCs/>
        </w:rPr>
      </w:pPr>
    </w:p>
  </w:footnote>
  <w:footnote w:id="60">
    <w:p w14:paraId="744FE443" w14:textId="77777777" w:rsidR="00E54204" w:rsidRPr="00E54204" w:rsidRDefault="00E54204" w:rsidP="00AA1903">
      <w:pPr>
        <w:pStyle w:val="FootnoteText"/>
      </w:pPr>
      <w:r w:rsidRPr="00E54204">
        <w:rPr>
          <w:rStyle w:val="FootnoteReference"/>
        </w:rPr>
        <w:footnoteRef/>
      </w:r>
      <w:r w:rsidRPr="00E54204">
        <w:t xml:space="preserve"> See Guttmann, </w:t>
      </w:r>
      <w:r w:rsidRPr="00E54204">
        <w:rPr>
          <w:i/>
        </w:rPr>
        <w:t xml:space="preserve">The Significance, </w:t>
      </w:r>
      <w:r w:rsidRPr="00E54204">
        <w:t>384.</w:t>
      </w:r>
    </w:p>
    <w:p w14:paraId="37F4D09B" w14:textId="77777777" w:rsidR="00E54204" w:rsidRPr="00E54204" w:rsidRDefault="00E54204" w:rsidP="00AA1903">
      <w:pPr>
        <w:pStyle w:val="FootnoteText"/>
      </w:pPr>
    </w:p>
  </w:footnote>
  <w:footnote w:id="61">
    <w:p w14:paraId="45F3A44C" w14:textId="77777777" w:rsidR="00E54204" w:rsidRPr="00E54204" w:rsidRDefault="00E54204" w:rsidP="00AA1903">
      <w:pPr>
        <w:pStyle w:val="FootnoteText"/>
      </w:pPr>
      <w:r w:rsidRPr="00E54204">
        <w:rPr>
          <w:rStyle w:val="FootnoteReference"/>
        </w:rPr>
        <w:footnoteRef/>
      </w:r>
      <w:r w:rsidRPr="00E54204">
        <w:t xml:space="preserve"> See Guttmann, </w:t>
      </w:r>
      <w:r w:rsidRPr="00E54204">
        <w:rPr>
          <w:i/>
        </w:rPr>
        <w:t>The Significance</w:t>
      </w:r>
      <w:r w:rsidRPr="00E54204">
        <w:t>, 386.</w:t>
      </w:r>
    </w:p>
    <w:p w14:paraId="2EF2D738" w14:textId="77777777" w:rsidR="00E54204" w:rsidRPr="00E54204" w:rsidRDefault="00E54204" w:rsidP="00AA1903">
      <w:pPr>
        <w:pStyle w:val="FootnoteText"/>
      </w:pPr>
    </w:p>
  </w:footnote>
  <w:footnote w:id="62">
    <w:p w14:paraId="3537507E" w14:textId="77777777" w:rsidR="00E54204" w:rsidRPr="00E54204" w:rsidRDefault="00E54204" w:rsidP="00AA1903">
      <w:pPr>
        <w:pStyle w:val="FootnoteText"/>
      </w:pPr>
      <w:r w:rsidRPr="00E54204">
        <w:rPr>
          <w:rStyle w:val="FootnoteReference"/>
        </w:rPr>
        <w:footnoteRef/>
      </w:r>
      <w:r w:rsidRPr="00E54204">
        <w:t xml:space="preserve"> See Arthur Marmorstein, </w:t>
      </w:r>
      <w:r w:rsidRPr="00E54204">
        <w:rPr>
          <w:i/>
        </w:rPr>
        <w:t>Studies in Jewish Theology</w:t>
      </w:r>
      <w:r w:rsidRPr="00E54204">
        <w:t xml:space="preserve"> (London: Oxford University Press, 1950), 136.</w:t>
      </w:r>
    </w:p>
    <w:p w14:paraId="2617C0C0" w14:textId="77777777" w:rsidR="00E54204" w:rsidRPr="00E54204" w:rsidRDefault="00E54204" w:rsidP="00AA1903">
      <w:pPr>
        <w:pStyle w:val="FootnoteText"/>
      </w:pPr>
    </w:p>
  </w:footnote>
  <w:footnote w:id="63">
    <w:p w14:paraId="784A4A75" w14:textId="77777777" w:rsidR="00E54204" w:rsidRPr="00E54204" w:rsidRDefault="00E54204" w:rsidP="00AA1903">
      <w:pPr>
        <w:pStyle w:val="FootnoteText"/>
      </w:pPr>
      <w:r w:rsidRPr="00E54204">
        <w:rPr>
          <w:rStyle w:val="FootnoteReference"/>
        </w:rPr>
        <w:footnoteRef/>
      </w:r>
      <w:r w:rsidRPr="00E54204">
        <w:t xml:space="preserve"> See Marmorstein, </w:t>
      </w:r>
      <w:r w:rsidRPr="00E54204">
        <w:rPr>
          <w:i/>
        </w:rPr>
        <w:t>Studies,</w:t>
      </w:r>
      <w:r w:rsidRPr="00E54204">
        <w:t xml:space="preserve"> 140.</w:t>
      </w:r>
    </w:p>
    <w:p w14:paraId="551759FF" w14:textId="77777777" w:rsidR="00E54204" w:rsidRPr="00E54204" w:rsidRDefault="00E54204" w:rsidP="00AA1903">
      <w:pPr>
        <w:pStyle w:val="FootnoteText"/>
      </w:pPr>
    </w:p>
  </w:footnote>
  <w:footnote w:id="64">
    <w:p w14:paraId="7BE47043" w14:textId="77777777" w:rsidR="00E54204" w:rsidRPr="00E54204" w:rsidRDefault="00E54204" w:rsidP="00AA1903">
      <w:pPr>
        <w:pStyle w:val="FootnoteText"/>
      </w:pPr>
      <w:r w:rsidRPr="00E54204">
        <w:rPr>
          <w:rStyle w:val="FootnoteReference"/>
        </w:rPr>
        <w:footnoteRef/>
      </w:r>
      <w:r w:rsidRPr="00E54204">
        <w:t xml:space="preserve"> See B. Yev. 14a; B. </w:t>
      </w:r>
      <w:r w:rsidRPr="00E54204">
        <w:rPr>
          <w:i/>
        </w:rPr>
        <w:t>Eruvin</w:t>
      </w:r>
      <w:r w:rsidRPr="00E54204">
        <w:t xml:space="preserve"> 6b, 13b; B. </w:t>
      </w:r>
      <w:r w:rsidRPr="00E54204">
        <w:rPr>
          <w:i/>
        </w:rPr>
        <w:t>Pesachim</w:t>
      </w:r>
      <w:r w:rsidRPr="00E54204">
        <w:t xml:space="preserve"> 114a; B. Ber. 52a, B. </w:t>
      </w:r>
      <w:r w:rsidRPr="00E54204">
        <w:rPr>
          <w:i/>
        </w:rPr>
        <w:t>Chullin</w:t>
      </w:r>
      <w:r w:rsidRPr="00E54204">
        <w:t xml:space="preserve"> 44a; cf. Marmorstein, </w:t>
      </w:r>
      <w:r w:rsidRPr="00E54204">
        <w:rPr>
          <w:i/>
        </w:rPr>
        <w:t>Studies</w:t>
      </w:r>
      <w:r w:rsidRPr="00E54204">
        <w:t xml:space="preserve">, 136. </w:t>
      </w:r>
    </w:p>
    <w:p w14:paraId="05B3B860" w14:textId="77777777" w:rsidR="00E54204" w:rsidRPr="00E54204" w:rsidRDefault="00E54204" w:rsidP="00AA1903">
      <w:pPr>
        <w:pStyle w:val="FootnoteText"/>
      </w:pPr>
    </w:p>
  </w:footnote>
  <w:footnote w:id="65">
    <w:p w14:paraId="5AB4DC11" w14:textId="77777777" w:rsidR="00E54204" w:rsidRPr="00E54204" w:rsidRDefault="00E54204" w:rsidP="00AA1903">
      <w:pPr>
        <w:pStyle w:val="FootnoteText"/>
      </w:pPr>
      <w:r w:rsidRPr="00E54204">
        <w:rPr>
          <w:rStyle w:val="FootnoteReference"/>
        </w:rPr>
        <w:footnoteRef/>
      </w:r>
      <w:r w:rsidRPr="00E54204">
        <w:t xml:space="preserve"> Marmorstein, </w:t>
      </w:r>
      <w:r w:rsidRPr="00E54204">
        <w:rPr>
          <w:i/>
        </w:rPr>
        <w:t>Studies</w:t>
      </w:r>
      <w:r w:rsidRPr="00E54204">
        <w:t>,</w:t>
      </w:r>
      <w:r w:rsidRPr="00E54204">
        <w:rPr>
          <w:i/>
        </w:rPr>
        <w:t xml:space="preserve"> </w:t>
      </w:r>
      <w:r w:rsidRPr="00E54204">
        <w:t xml:space="preserve">138.  R. Joshua is the prime example.  The </w:t>
      </w:r>
      <w:r w:rsidRPr="00E54204">
        <w:rPr>
          <w:i/>
        </w:rPr>
        <w:t>bat kol</w:t>
      </w:r>
      <w:r w:rsidRPr="00E54204">
        <w:t xml:space="preserve"> was not limited to academies and corporate gatherings of the sages, but also appeared to individuals.</w:t>
      </w:r>
    </w:p>
    <w:p w14:paraId="676B63EC" w14:textId="77777777" w:rsidR="00E54204" w:rsidRPr="00E54204" w:rsidRDefault="00E54204" w:rsidP="00AA1903">
      <w:pPr>
        <w:pStyle w:val="FootnoteText"/>
      </w:pPr>
    </w:p>
  </w:footnote>
  <w:footnote w:id="66">
    <w:p w14:paraId="1DE53638" w14:textId="77777777" w:rsidR="00E54204" w:rsidRPr="00E54204" w:rsidRDefault="00E54204" w:rsidP="00AA1903">
      <w:pPr>
        <w:pStyle w:val="FootnoteText"/>
      </w:pPr>
      <w:r w:rsidRPr="00E54204">
        <w:rPr>
          <w:rStyle w:val="FootnoteReference"/>
        </w:rPr>
        <w:footnoteRef/>
      </w:r>
      <w:r w:rsidRPr="00E54204">
        <w:t xml:space="preserve"> Marmorstein, </w:t>
      </w:r>
      <w:r w:rsidRPr="00E54204">
        <w:rPr>
          <w:i/>
        </w:rPr>
        <w:t>Studies</w:t>
      </w:r>
      <w:r w:rsidRPr="00E54204">
        <w:t xml:space="preserve">, 143.  He comments, “As these legends are met with in every century of the old rabbinic period, in Babylon as well as in Palestine, it must be admitted that the conceptions underlying them were at that time deeply rooted in the life of the people;” cf. Marmorstein, </w:t>
      </w:r>
      <w:r w:rsidRPr="00E54204">
        <w:rPr>
          <w:i/>
        </w:rPr>
        <w:t>Studies</w:t>
      </w:r>
      <w:r w:rsidRPr="00E54204">
        <w:t>, 178.</w:t>
      </w:r>
    </w:p>
    <w:p w14:paraId="7D5DC1E1" w14:textId="77777777" w:rsidR="00E54204" w:rsidRPr="00E54204" w:rsidRDefault="00E54204" w:rsidP="00AA1903">
      <w:pPr>
        <w:pStyle w:val="FootnoteText"/>
      </w:pPr>
    </w:p>
  </w:footnote>
  <w:footnote w:id="67">
    <w:p w14:paraId="10E3D625" w14:textId="77777777" w:rsidR="00E54204" w:rsidRPr="00E54204" w:rsidRDefault="00E54204" w:rsidP="00AA1903">
      <w:pPr>
        <w:pStyle w:val="FootnoteText"/>
      </w:pPr>
      <w:r w:rsidRPr="00E54204">
        <w:rPr>
          <w:rStyle w:val="FootnoteReference"/>
        </w:rPr>
        <w:footnoteRef/>
      </w:r>
      <w:r w:rsidRPr="00E54204">
        <w:t xml:space="preserve"> Saul Lieberman, </w:t>
      </w:r>
      <w:r w:rsidRPr="00E54204">
        <w:rPr>
          <w:i/>
        </w:rPr>
        <w:t>Hellenism in Jewish Palestine</w:t>
      </w:r>
      <w:r w:rsidRPr="00E54204">
        <w:t xml:space="preserve"> (New York: Jewish Theological Seminary, 1950), 194-199.</w:t>
      </w:r>
    </w:p>
    <w:p w14:paraId="0F9AF13B" w14:textId="77777777" w:rsidR="00E54204" w:rsidRPr="00E54204" w:rsidRDefault="00E54204" w:rsidP="00AA1903">
      <w:pPr>
        <w:pStyle w:val="FootnoteText"/>
      </w:pPr>
    </w:p>
  </w:footnote>
  <w:footnote w:id="68">
    <w:p w14:paraId="46252938" w14:textId="77777777" w:rsidR="00E54204" w:rsidRPr="00E54204" w:rsidRDefault="00E54204" w:rsidP="00AA1903">
      <w:pPr>
        <w:pStyle w:val="FootnoteText"/>
        <w:rPr>
          <w:sz w:val="12"/>
        </w:rPr>
      </w:pPr>
      <w:r w:rsidRPr="00E54204">
        <w:rPr>
          <w:rStyle w:val="FootnoteReference"/>
        </w:rPr>
        <w:footnoteRef/>
      </w:r>
      <w:r w:rsidRPr="00E54204">
        <w:t xml:space="preserve"> Lieberman, </w:t>
      </w:r>
      <w:r w:rsidRPr="00E54204">
        <w:rPr>
          <w:i/>
        </w:rPr>
        <w:t>Hellenism</w:t>
      </w:r>
      <w:r w:rsidRPr="00E54204">
        <w:t xml:space="preserve">, 195.  The phrase occurs in B. </w:t>
      </w:r>
      <w:r w:rsidRPr="00E54204">
        <w:rPr>
          <w:i/>
        </w:rPr>
        <w:t>Megillah</w:t>
      </w:r>
      <w:r w:rsidRPr="00E54204">
        <w:t xml:space="preserve"> 32a; </w:t>
      </w:r>
      <w:r w:rsidRPr="00E54204">
        <w:rPr>
          <w:i/>
        </w:rPr>
        <w:t>Genesis Rabbah</w:t>
      </w:r>
      <w:r w:rsidRPr="00E54204">
        <w:t xml:space="preserve"> 37. 7, 349</w:t>
      </w:r>
      <w:r w:rsidRPr="00E54204">
        <w:rPr>
          <w:sz w:val="12"/>
        </w:rPr>
        <w:t>.</w:t>
      </w:r>
    </w:p>
    <w:p w14:paraId="1AAB1972" w14:textId="77777777" w:rsidR="00E54204" w:rsidRPr="00E54204" w:rsidRDefault="00E54204" w:rsidP="00AA1903">
      <w:pPr>
        <w:pStyle w:val="FootnoteText"/>
      </w:pPr>
    </w:p>
  </w:footnote>
  <w:footnote w:id="69">
    <w:p w14:paraId="30FBE48F" w14:textId="77777777" w:rsidR="00E54204" w:rsidRPr="00E54204" w:rsidRDefault="00E54204" w:rsidP="00AA1903">
      <w:pPr>
        <w:pStyle w:val="FootnoteText"/>
      </w:pPr>
      <w:r w:rsidRPr="00E54204">
        <w:rPr>
          <w:rStyle w:val="FootnoteReference"/>
        </w:rPr>
        <w:footnoteRef/>
      </w:r>
      <w:r w:rsidRPr="00E54204">
        <w:t xml:space="preserve"> Lieberman, </w:t>
      </w:r>
      <w:r w:rsidRPr="00E54204">
        <w:rPr>
          <w:i/>
        </w:rPr>
        <w:t>Hellenism</w:t>
      </w:r>
      <w:r w:rsidRPr="00E54204">
        <w:t>, 195.</w:t>
      </w:r>
    </w:p>
    <w:p w14:paraId="4A7C19FD" w14:textId="77777777" w:rsidR="00E54204" w:rsidRPr="00E54204" w:rsidRDefault="00E54204" w:rsidP="00AA1903">
      <w:pPr>
        <w:pStyle w:val="FootnoteText"/>
      </w:pPr>
    </w:p>
  </w:footnote>
  <w:footnote w:id="70">
    <w:p w14:paraId="15FDE929" w14:textId="77777777" w:rsidR="00E54204" w:rsidRPr="00E54204" w:rsidRDefault="00E54204" w:rsidP="00AA1903">
      <w:pPr>
        <w:pStyle w:val="FootnoteText"/>
      </w:pPr>
      <w:r w:rsidRPr="00E54204">
        <w:rPr>
          <w:rStyle w:val="FootnoteReference"/>
        </w:rPr>
        <w:footnoteRef/>
      </w:r>
      <w:r w:rsidRPr="00E54204">
        <w:t xml:space="preserve"> Lieberman, </w:t>
      </w:r>
      <w:r w:rsidRPr="00E54204">
        <w:rPr>
          <w:i/>
        </w:rPr>
        <w:t>Hellenism</w:t>
      </w:r>
      <w:r w:rsidRPr="00E54204">
        <w:t xml:space="preserve">, 195.  One example is found in the Babylonian Talmud, tractate </w:t>
      </w:r>
      <w:r w:rsidRPr="00E54204">
        <w:rPr>
          <w:i/>
        </w:rPr>
        <w:t>Megillah</w:t>
      </w:r>
      <w:r w:rsidRPr="00E54204">
        <w:t xml:space="preserve"> 32a, where we read “When do we know one may consult a </w:t>
      </w:r>
      <w:r w:rsidRPr="00E54204">
        <w:rPr>
          <w:i/>
        </w:rPr>
        <w:t>bat kol</w:t>
      </w:r>
      <w:r w:rsidRPr="00E54204">
        <w:t xml:space="preserve">?  Because it is said (Isaiah 30:21): </w:t>
      </w:r>
      <w:r w:rsidRPr="00E54204">
        <w:rPr>
          <w:i/>
        </w:rPr>
        <w:t>and thine ears shall hear a word behind thee saying…</w:t>
      </w:r>
      <w:r w:rsidRPr="00E54204">
        <w:t>”</w:t>
      </w:r>
    </w:p>
    <w:p w14:paraId="48E69319" w14:textId="77777777" w:rsidR="00E54204" w:rsidRPr="00E54204" w:rsidRDefault="00E54204" w:rsidP="00AA1903">
      <w:pPr>
        <w:pStyle w:val="FootnoteText"/>
      </w:pPr>
    </w:p>
  </w:footnote>
  <w:footnote w:id="71">
    <w:p w14:paraId="50A611AE" w14:textId="77777777" w:rsidR="00E54204" w:rsidRPr="00E54204" w:rsidRDefault="00E54204" w:rsidP="00AA1903">
      <w:pPr>
        <w:pStyle w:val="FootnoteText"/>
      </w:pPr>
      <w:r w:rsidRPr="00E54204">
        <w:rPr>
          <w:rStyle w:val="FootnoteReference"/>
        </w:rPr>
        <w:footnoteRef/>
      </w:r>
      <w:r w:rsidRPr="00E54204">
        <w:t xml:space="preserve"> Lieberman, </w:t>
      </w:r>
      <w:r w:rsidRPr="00E54204">
        <w:rPr>
          <w:i/>
        </w:rPr>
        <w:t>Hellenism</w:t>
      </w:r>
      <w:r w:rsidRPr="00E54204">
        <w:t xml:space="preserve">, 195.  Examples include B. </w:t>
      </w:r>
      <w:r w:rsidRPr="00E54204">
        <w:rPr>
          <w:i/>
        </w:rPr>
        <w:t>Hagigah</w:t>
      </w:r>
      <w:r w:rsidRPr="00E54204">
        <w:t xml:space="preserve"> 15a ff; </w:t>
      </w:r>
      <w:r w:rsidRPr="00E54204">
        <w:rPr>
          <w:i/>
        </w:rPr>
        <w:t>Gittin</w:t>
      </w:r>
      <w:r w:rsidRPr="00E54204">
        <w:t xml:space="preserve"> 68a; </w:t>
      </w:r>
      <w:r w:rsidRPr="00E54204">
        <w:rPr>
          <w:i/>
        </w:rPr>
        <w:t>Esther Rabbah</w:t>
      </w:r>
      <w:r w:rsidRPr="00E54204">
        <w:t xml:space="preserve"> (to Esther 3:9).  Lieberman writes that this form of divination was ascribed to the Roman emperor Nero, cf. B.</w:t>
      </w:r>
      <w:r w:rsidRPr="00E54204">
        <w:rPr>
          <w:i/>
        </w:rPr>
        <w:t xml:space="preserve"> Gittin </w:t>
      </w:r>
      <w:r w:rsidRPr="00E54204">
        <w:t>56a.</w:t>
      </w:r>
    </w:p>
    <w:p w14:paraId="0E0113C2" w14:textId="77777777" w:rsidR="00E54204" w:rsidRPr="00E54204" w:rsidRDefault="00E54204" w:rsidP="00AA1903">
      <w:pPr>
        <w:pStyle w:val="FootnoteText"/>
      </w:pPr>
    </w:p>
  </w:footnote>
  <w:footnote w:id="72">
    <w:p w14:paraId="5A5FC142" w14:textId="77777777" w:rsidR="00E54204" w:rsidRPr="00E54204" w:rsidRDefault="00E54204" w:rsidP="00AA1903">
      <w:pPr>
        <w:pStyle w:val="FootnoteText"/>
      </w:pPr>
      <w:r w:rsidRPr="00E54204">
        <w:rPr>
          <w:rStyle w:val="FootnoteReference"/>
        </w:rPr>
        <w:footnoteRef/>
      </w:r>
      <w:r w:rsidRPr="00E54204">
        <w:t xml:space="preserve"> He thinks these were not prohibited by the rabbis but were considered a type of sign (</w:t>
      </w:r>
      <w:r w:rsidRPr="00E54204">
        <w:rPr>
          <w:rFonts w:cs="Times New Roman"/>
          <w:rtl/>
          <w:lang w:bidi="he-IL"/>
        </w:rPr>
        <w:t>אות</w:t>
      </w:r>
      <w:r w:rsidRPr="00E54204">
        <w:t xml:space="preserve">) from heaven, a form of prophecy, cf. Lieberman, </w:t>
      </w:r>
      <w:r w:rsidRPr="00E54204">
        <w:rPr>
          <w:i/>
        </w:rPr>
        <w:t>Hellenism</w:t>
      </w:r>
      <w:r w:rsidRPr="00E54204">
        <w:t>, 195-196.</w:t>
      </w:r>
    </w:p>
    <w:p w14:paraId="2685DB44" w14:textId="77777777" w:rsidR="00E54204" w:rsidRPr="00E54204" w:rsidRDefault="00E54204" w:rsidP="00AA1903">
      <w:pPr>
        <w:pStyle w:val="FootnoteText"/>
      </w:pPr>
      <w:r w:rsidRPr="00E54204">
        <w:t xml:space="preserve">  </w:t>
      </w:r>
    </w:p>
  </w:footnote>
  <w:footnote w:id="73">
    <w:p w14:paraId="783994D2" w14:textId="77777777" w:rsidR="00E54204" w:rsidRPr="00E54204" w:rsidRDefault="00E54204" w:rsidP="00AA1903">
      <w:pPr>
        <w:pStyle w:val="FootnoteText"/>
      </w:pPr>
      <w:r w:rsidRPr="00E54204">
        <w:rPr>
          <w:rStyle w:val="FootnoteReference"/>
        </w:rPr>
        <w:footnoteRef/>
      </w:r>
      <w:r w:rsidRPr="00E54204">
        <w:t xml:space="preserve"> Lieberman, </w:t>
      </w:r>
      <w:r w:rsidRPr="00E54204">
        <w:rPr>
          <w:i/>
        </w:rPr>
        <w:t>Hellenism</w:t>
      </w:r>
      <w:r w:rsidRPr="00E54204">
        <w:t>, 199.</w:t>
      </w:r>
    </w:p>
    <w:p w14:paraId="540F2351" w14:textId="77777777" w:rsidR="00E54204" w:rsidRPr="00E54204" w:rsidRDefault="00E54204" w:rsidP="00AA1903">
      <w:pPr>
        <w:pStyle w:val="FootnoteText"/>
      </w:pPr>
    </w:p>
  </w:footnote>
  <w:footnote w:id="74">
    <w:p w14:paraId="63CAAAF9" w14:textId="77777777" w:rsidR="00E54204" w:rsidRPr="00E54204" w:rsidRDefault="00E54204" w:rsidP="00AA1903">
      <w:pPr>
        <w:pStyle w:val="FootnoteText"/>
      </w:pPr>
      <w:r w:rsidRPr="00E54204">
        <w:rPr>
          <w:rStyle w:val="FootnoteReference"/>
        </w:rPr>
        <w:footnoteRef/>
      </w:r>
      <w:r w:rsidRPr="00E54204">
        <w:t xml:space="preserve"> His support text comes from </w:t>
      </w:r>
      <w:r w:rsidRPr="00E54204">
        <w:rPr>
          <w:i/>
        </w:rPr>
        <w:t xml:space="preserve">Esther Rabbah </w:t>
      </w:r>
      <w:r w:rsidRPr="00E54204">
        <w:t xml:space="preserve">to Esther 3:14 where it is written that the Jews, “were to be ready against that day to avenge themselves of their enemies;” cf. Lieberman, </w:t>
      </w:r>
      <w:r w:rsidRPr="00E54204">
        <w:rPr>
          <w:i/>
        </w:rPr>
        <w:t>Hellenism</w:t>
      </w:r>
      <w:r w:rsidRPr="00E54204">
        <w:t>, 198-199.</w:t>
      </w:r>
    </w:p>
    <w:p w14:paraId="710DF669" w14:textId="77777777" w:rsidR="00E54204" w:rsidRPr="00E54204" w:rsidRDefault="00E54204" w:rsidP="00AA1903">
      <w:pPr>
        <w:pStyle w:val="FootnoteText"/>
      </w:pPr>
    </w:p>
  </w:footnote>
  <w:footnote w:id="75">
    <w:p w14:paraId="3FB2FFD3" w14:textId="77777777" w:rsidR="00E54204" w:rsidRPr="00E54204" w:rsidRDefault="00E54204" w:rsidP="00832FF6">
      <w:pPr>
        <w:pStyle w:val="FootnoteText"/>
      </w:pPr>
      <w:r w:rsidRPr="00E54204">
        <w:rPr>
          <w:rStyle w:val="FootnoteReference"/>
        </w:rPr>
        <w:footnoteRef/>
      </w:r>
      <w:r w:rsidRPr="00E54204">
        <w:t xml:space="preserve"> See Azzan Israel, </w:t>
      </w:r>
      <w:r w:rsidRPr="00E54204">
        <w:rPr>
          <w:i/>
        </w:rPr>
        <w:t>Scripture and Tradition: Rabbi Akiva and the Triumph of Midrash</w:t>
      </w:r>
      <w:r w:rsidRPr="00E54204">
        <w:t xml:space="preserve"> (Philadelphia: University of Pennsylvania Press, 2015), 174.</w:t>
      </w:r>
    </w:p>
    <w:p w14:paraId="510D07DC" w14:textId="77777777" w:rsidR="00E54204" w:rsidRPr="00E54204" w:rsidRDefault="00E54204" w:rsidP="00832FF6">
      <w:pPr>
        <w:pStyle w:val="FootnoteText"/>
      </w:pPr>
    </w:p>
  </w:footnote>
  <w:footnote w:id="76">
    <w:p w14:paraId="7BF36453" w14:textId="77777777" w:rsidR="00E54204" w:rsidRPr="00E54204" w:rsidRDefault="00E54204" w:rsidP="00AA1903">
      <w:pPr>
        <w:pStyle w:val="FootnoteText"/>
      </w:pPr>
      <w:r w:rsidRPr="00E54204">
        <w:rPr>
          <w:rStyle w:val="FootnoteReference"/>
        </w:rPr>
        <w:footnoteRef/>
      </w:r>
      <w:r w:rsidRPr="00E54204">
        <w:t xml:space="preserve"> Max Kadushin,</w:t>
      </w:r>
      <w:r w:rsidRPr="00E54204">
        <w:rPr>
          <w:i/>
        </w:rPr>
        <w:t xml:space="preserve"> The Rabbinic Mind</w:t>
      </w:r>
      <w:r w:rsidRPr="00E54204">
        <w:t xml:space="preserve"> (New York: Bloch Publisher, 1972), 261-262.</w:t>
      </w:r>
    </w:p>
    <w:p w14:paraId="435CC973" w14:textId="77777777" w:rsidR="00E54204" w:rsidRPr="00E54204" w:rsidRDefault="00E54204" w:rsidP="00AA1903">
      <w:pPr>
        <w:pStyle w:val="FootnoteText"/>
      </w:pPr>
    </w:p>
  </w:footnote>
  <w:footnote w:id="77">
    <w:p w14:paraId="59A92003" w14:textId="77777777" w:rsidR="00E54204" w:rsidRPr="00E54204" w:rsidRDefault="00E54204" w:rsidP="00AA1903">
      <w:pPr>
        <w:pStyle w:val="FootnoteText"/>
      </w:pPr>
      <w:r w:rsidRPr="00E54204">
        <w:rPr>
          <w:rStyle w:val="FootnoteReference"/>
        </w:rPr>
        <w:footnoteRef/>
      </w:r>
      <w:r w:rsidRPr="00E54204">
        <w:t xml:space="preserve"> This is why Kiddushin says it lacked authority at times to promulgate legal decisions.  It was not an experience in which the Holy Spirit manifested itself to the prophet giving credence to the prophecy.</w:t>
      </w:r>
    </w:p>
    <w:p w14:paraId="483DE7C2" w14:textId="77777777" w:rsidR="00E54204" w:rsidRPr="00E54204" w:rsidRDefault="00E54204" w:rsidP="00AA1903">
      <w:pPr>
        <w:pStyle w:val="FootnoteText"/>
      </w:pPr>
    </w:p>
  </w:footnote>
  <w:footnote w:id="78">
    <w:p w14:paraId="09F0E10F" w14:textId="77777777" w:rsidR="00E54204" w:rsidRPr="00E54204" w:rsidRDefault="00E54204" w:rsidP="00AD064A">
      <w:pPr>
        <w:pStyle w:val="FootnoteText"/>
      </w:pPr>
      <w:r w:rsidRPr="00E54204">
        <w:rPr>
          <w:rStyle w:val="FootnoteReference"/>
        </w:rPr>
        <w:footnoteRef/>
      </w:r>
      <w:r w:rsidRPr="00E54204">
        <w:t xml:space="preserve"> Abraham Joshua Heschel, </w:t>
      </w:r>
      <w:r w:rsidRPr="00E54204">
        <w:rPr>
          <w:i/>
        </w:rPr>
        <w:t>Prophetic Inspiration after the Prophets: Maimonides and other Medieval Authorities</w:t>
      </w:r>
      <w:r w:rsidRPr="00E54204">
        <w:t xml:space="preserve">, ed. </w:t>
      </w:r>
      <w:r w:rsidRPr="00E54204">
        <w:rPr>
          <w:bCs/>
        </w:rPr>
        <w:t>Morris M. Faierstein</w:t>
      </w:r>
      <w:r w:rsidRPr="00E54204">
        <w:rPr>
          <w:i/>
        </w:rPr>
        <w:t xml:space="preserve"> </w:t>
      </w:r>
      <w:r w:rsidRPr="00E54204">
        <w:t>(Hoboken: Ktav Pub., 1966), 2.</w:t>
      </w:r>
    </w:p>
    <w:p w14:paraId="78F6BF48" w14:textId="77777777" w:rsidR="00E54204" w:rsidRPr="00E54204" w:rsidRDefault="00E54204" w:rsidP="00AD064A">
      <w:pPr>
        <w:pStyle w:val="FootnoteText"/>
      </w:pPr>
    </w:p>
  </w:footnote>
  <w:footnote w:id="79">
    <w:p w14:paraId="2D152E42" w14:textId="77777777" w:rsidR="00E54204" w:rsidRPr="00E54204" w:rsidRDefault="00E54204" w:rsidP="00AD064A">
      <w:pPr>
        <w:pStyle w:val="FootnoteText"/>
      </w:pPr>
      <w:r w:rsidRPr="00E54204">
        <w:rPr>
          <w:rStyle w:val="FootnoteReference"/>
        </w:rPr>
        <w:footnoteRef/>
      </w:r>
      <w:r w:rsidRPr="00E54204">
        <w:t xml:space="preserve"> Further, Heschel includes’ Rashi’s commentary on B. </w:t>
      </w:r>
      <w:r w:rsidRPr="00E54204">
        <w:rPr>
          <w:i/>
        </w:rPr>
        <w:t>Sotah</w:t>
      </w:r>
      <w:r w:rsidRPr="00E54204">
        <w:t xml:space="preserve"> 33a, “The attribute which is appointed for this task knows the seventy languages, because it is prepared to transmit its message in whatever language is appropriate.”  Cf. Heschel, </w:t>
      </w:r>
      <w:r w:rsidRPr="00E54204">
        <w:rPr>
          <w:i/>
        </w:rPr>
        <w:t>Prophetic</w:t>
      </w:r>
      <w:r w:rsidRPr="00E54204">
        <w:t>, 2.</w:t>
      </w:r>
    </w:p>
    <w:p w14:paraId="209C729E" w14:textId="77777777" w:rsidR="00E54204" w:rsidRPr="00E54204" w:rsidRDefault="00E54204" w:rsidP="00AD064A">
      <w:pPr>
        <w:pStyle w:val="FootnoteText"/>
      </w:pPr>
    </w:p>
  </w:footnote>
  <w:footnote w:id="80">
    <w:p w14:paraId="2CE5ECAB" w14:textId="77777777" w:rsidR="00E54204" w:rsidRPr="00E54204" w:rsidRDefault="00E54204" w:rsidP="00AD064A">
      <w:pPr>
        <w:pStyle w:val="FootnoteText"/>
      </w:pPr>
      <w:r w:rsidRPr="00E54204">
        <w:rPr>
          <w:rStyle w:val="FootnoteReference"/>
        </w:rPr>
        <w:footnoteRef/>
      </w:r>
      <w:r w:rsidRPr="00E54204">
        <w:t xml:space="preserve"> Ca. 220-400 CE.</w:t>
      </w:r>
    </w:p>
    <w:p w14:paraId="0BB52AB9" w14:textId="77777777" w:rsidR="00E54204" w:rsidRPr="00E54204" w:rsidRDefault="00E54204" w:rsidP="00AD064A">
      <w:pPr>
        <w:pStyle w:val="FootnoteText"/>
      </w:pPr>
    </w:p>
  </w:footnote>
  <w:footnote w:id="81">
    <w:p w14:paraId="4034C370" w14:textId="77777777" w:rsidR="00E54204" w:rsidRPr="00E54204" w:rsidRDefault="00E54204" w:rsidP="00AD064A">
      <w:pPr>
        <w:pStyle w:val="FootnoteText"/>
      </w:pPr>
      <w:r w:rsidRPr="00E54204">
        <w:rPr>
          <w:rStyle w:val="FootnoteReference"/>
        </w:rPr>
        <w:footnoteRef/>
      </w:r>
      <w:r w:rsidRPr="00E54204">
        <w:t xml:space="preserve"> See B. </w:t>
      </w:r>
      <w:r w:rsidRPr="00E54204">
        <w:rPr>
          <w:i/>
        </w:rPr>
        <w:t>Megillah</w:t>
      </w:r>
      <w:r w:rsidRPr="00E54204">
        <w:t xml:space="preserve"> 32a. Heschel, </w:t>
      </w:r>
      <w:r w:rsidRPr="00E54204">
        <w:rPr>
          <w:i/>
        </w:rPr>
        <w:t>Prophetic</w:t>
      </w:r>
      <w:r w:rsidRPr="00E54204">
        <w:t xml:space="preserve">, 2. </w:t>
      </w:r>
    </w:p>
    <w:p w14:paraId="433A7D6C" w14:textId="77777777" w:rsidR="00E54204" w:rsidRPr="00E54204" w:rsidRDefault="00E54204" w:rsidP="00AD064A">
      <w:pPr>
        <w:pStyle w:val="FootnoteText"/>
      </w:pPr>
    </w:p>
  </w:footnote>
  <w:footnote w:id="82">
    <w:p w14:paraId="35EA7AFE" w14:textId="77777777" w:rsidR="00E54204" w:rsidRPr="00E54204" w:rsidRDefault="00E54204" w:rsidP="00AA1903">
      <w:pPr>
        <w:pStyle w:val="FootnoteText"/>
      </w:pPr>
      <w:r w:rsidRPr="00E54204">
        <w:rPr>
          <w:rStyle w:val="FootnoteReference"/>
        </w:rPr>
        <w:footnoteRef/>
      </w:r>
      <w:r w:rsidRPr="00E54204">
        <w:t xml:space="preserve"> See Gerhard Kittel et al., </w:t>
      </w:r>
      <w:r w:rsidRPr="00E54204">
        <w:rPr>
          <w:i/>
        </w:rPr>
        <w:t>Theological Dictionary of the New Testament</w:t>
      </w:r>
      <w:r w:rsidRPr="00E54204">
        <w:t xml:space="preserve"> (Grand Rapids: MI, Eerdmans, 1974), 278-279.  Betz references a Greek text that speaks of “the voice” emanating from temples; See Ael. Aristotle. Or. 20, 22 (Keil).  This concept is mirrored in the attested “voices from heaven” by Josephus and Talmudic literature (cf. </w:t>
      </w:r>
      <w:r w:rsidRPr="00E54204">
        <w:rPr>
          <w:i/>
        </w:rPr>
        <w:t>Ant</w:t>
      </w:r>
      <w:r w:rsidRPr="00E54204">
        <w:t xml:space="preserve"> 13.10.3 </w:t>
      </w:r>
      <w:r w:rsidRPr="00E54204">
        <w:rPr>
          <w:rFonts w:cs="Times New Roman"/>
        </w:rPr>
        <w:t>§</w:t>
      </w:r>
      <w:r w:rsidRPr="00E54204">
        <w:t xml:space="preserve">282; Tosefta </w:t>
      </w:r>
      <w:r w:rsidRPr="00E54204">
        <w:rPr>
          <w:i/>
        </w:rPr>
        <w:t>Sotah</w:t>
      </w:r>
      <w:r w:rsidRPr="00E54204">
        <w:t xml:space="preserve"> 13:5; B. </w:t>
      </w:r>
      <w:r w:rsidRPr="00E54204">
        <w:rPr>
          <w:i/>
        </w:rPr>
        <w:t>Sotah</w:t>
      </w:r>
      <w:r w:rsidRPr="00E54204">
        <w:t xml:space="preserve"> 33a).  Also relevant to the </w:t>
      </w:r>
      <w:r w:rsidRPr="00E54204">
        <w:rPr>
          <w:i/>
        </w:rPr>
        <w:t>bat kol</w:t>
      </w:r>
      <w:r w:rsidRPr="00E54204">
        <w:t xml:space="preserve"> is the Greek usage of the term to express a significant statement or declaration, see “the statement of Simonides,” in B.A.F. Hubbard, </w:t>
      </w:r>
      <w:r w:rsidRPr="00E54204">
        <w:rPr>
          <w:i/>
        </w:rPr>
        <w:t>Plato’s Protagoras</w:t>
      </w:r>
      <w:r w:rsidRPr="00E54204">
        <w:t xml:space="preserve"> (Chicago: University of Chicago Press, 1984), 341.</w:t>
      </w:r>
    </w:p>
    <w:p w14:paraId="7F7D252E" w14:textId="77777777" w:rsidR="00E54204" w:rsidRPr="00E54204" w:rsidRDefault="00E54204" w:rsidP="00AA1903">
      <w:pPr>
        <w:pStyle w:val="FootnoteText"/>
      </w:pPr>
      <w:r w:rsidRPr="00E54204">
        <w:t xml:space="preserve"> </w:t>
      </w:r>
    </w:p>
  </w:footnote>
  <w:footnote w:id="83">
    <w:p w14:paraId="7F085DC7" w14:textId="77777777" w:rsidR="00E54204" w:rsidRPr="00E54204" w:rsidRDefault="00E54204" w:rsidP="00AA1903">
      <w:pPr>
        <w:pStyle w:val="FootnoteText"/>
      </w:pPr>
      <w:r w:rsidRPr="00E54204">
        <w:rPr>
          <w:rStyle w:val="FootnoteReference"/>
        </w:rPr>
        <w:footnoteRef/>
      </w:r>
      <w:r w:rsidRPr="00E54204">
        <w:t xml:space="preserve"> For examples of thunder see: Exodus 9:23, 29, 33; 19:16; for roars: Psalms 42:7, 93:3f; for sounds of steps: Gen. 3:8; 1 K. 14:6; 2 K. 6:32, and for the sound of a battle cry: 1 S. 4:6.</w:t>
      </w:r>
    </w:p>
    <w:p w14:paraId="7F029619" w14:textId="77777777" w:rsidR="00E54204" w:rsidRPr="00E54204" w:rsidRDefault="00E54204" w:rsidP="00AA1903">
      <w:pPr>
        <w:pStyle w:val="FootnoteText"/>
      </w:pPr>
    </w:p>
  </w:footnote>
  <w:footnote w:id="84">
    <w:p w14:paraId="21453232" w14:textId="77777777" w:rsidR="00E54204" w:rsidRPr="00E54204" w:rsidRDefault="00E54204" w:rsidP="00AA1903">
      <w:pPr>
        <w:pStyle w:val="FootnoteText"/>
      </w:pPr>
      <w:r w:rsidRPr="00E54204">
        <w:rPr>
          <w:rStyle w:val="FootnoteReference"/>
        </w:rPr>
        <w:footnoteRef/>
      </w:r>
      <w:r w:rsidRPr="00E54204">
        <w:t xml:space="preserve"> See Isaiah 40:3, 6; Ez. 1:24-25, and Daniel 4:28.</w:t>
      </w:r>
    </w:p>
    <w:p w14:paraId="76A37E67" w14:textId="77777777" w:rsidR="00E54204" w:rsidRPr="00E54204" w:rsidRDefault="00E54204" w:rsidP="00AA1903">
      <w:pPr>
        <w:pStyle w:val="FootnoteText"/>
      </w:pPr>
    </w:p>
  </w:footnote>
  <w:footnote w:id="85">
    <w:p w14:paraId="7935383D" w14:textId="77777777" w:rsidR="00E54204" w:rsidRPr="00E54204" w:rsidRDefault="00E54204" w:rsidP="00AA1903">
      <w:pPr>
        <w:pStyle w:val="FootnoteText"/>
      </w:pPr>
      <w:r w:rsidRPr="00E54204">
        <w:rPr>
          <w:rStyle w:val="FootnoteReference"/>
        </w:rPr>
        <w:footnoteRef/>
      </w:r>
      <w:r w:rsidRPr="00E54204">
        <w:t xml:space="preserve"> It is obvious that the Bible reports that individuals did see manifestations of God.  Exodus 33:22-23 relates that God agreed to reveal (lit. “My latter parts”) to Moses but not His face.</w:t>
      </w:r>
    </w:p>
    <w:p w14:paraId="09BB8210" w14:textId="77777777" w:rsidR="00E54204" w:rsidRPr="00E54204" w:rsidRDefault="00E54204" w:rsidP="00AA1903">
      <w:pPr>
        <w:pStyle w:val="FootnoteText"/>
        <w:rPr>
          <w:i/>
        </w:rPr>
      </w:pPr>
    </w:p>
  </w:footnote>
  <w:footnote w:id="86">
    <w:p w14:paraId="797943B3" w14:textId="77777777" w:rsidR="00E54204" w:rsidRPr="00E54204" w:rsidRDefault="00E54204" w:rsidP="00AA1903">
      <w:pPr>
        <w:pStyle w:val="FootnoteText"/>
      </w:pPr>
      <w:r w:rsidRPr="00E54204">
        <w:rPr>
          <w:rStyle w:val="FootnoteReference"/>
        </w:rPr>
        <w:footnoteRef/>
      </w:r>
      <w:r w:rsidRPr="00E54204">
        <w:t xml:space="preserve"> Betz notes that in about 50 of some 560 instances God is the author of </w:t>
      </w:r>
      <w:r w:rsidRPr="00E54204">
        <w:rPr>
          <w:i/>
        </w:rPr>
        <w:t>kol</w:t>
      </w:r>
      <w:r w:rsidRPr="00E54204">
        <w:t xml:space="preserve">; Kittel et al., </w:t>
      </w:r>
      <w:r w:rsidRPr="00E54204">
        <w:rPr>
          <w:i/>
        </w:rPr>
        <w:t>Theological</w:t>
      </w:r>
      <w:r w:rsidRPr="00E54204">
        <w:t>, 282.</w:t>
      </w:r>
    </w:p>
    <w:p w14:paraId="3C272A74" w14:textId="77777777" w:rsidR="00E54204" w:rsidRPr="00E54204" w:rsidRDefault="00E54204" w:rsidP="00AA1903">
      <w:pPr>
        <w:pStyle w:val="FootnoteText"/>
      </w:pPr>
    </w:p>
  </w:footnote>
  <w:footnote w:id="87">
    <w:p w14:paraId="45948ADE" w14:textId="77777777" w:rsidR="00E54204" w:rsidRPr="00E54204" w:rsidRDefault="00E54204" w:rsidP="00AA1903">
      <w:pPr>
        <w:pStyle w:val="FootnoteText"/>
      </w:pPr>
      <w:r w:rsidRPr="00E54204">
        <w:rPr>
          <w:rStyle w:val="FootnoteReference"/>
        </w:rPr>
        <w:footnoteRef/>
      </w:r>
      <w:r w:rsidRPr="00E54204">
        <w:t xml:space="preserve"> See Ezekiel 43:2.</w:t>
      </w:r>
    </w:p>
    <w:p w14:paraId="6EA0419C" w14:textId="77777777" w:rsidR="00E54204" w:rsidRPr="00E54204" w:rsidRDefault="00E54204" w:rsidP="00AA1903">
      <w:pPr>
        <w:pStyle w:val="FootnoteText"/>
      </w:pPr>
    </w:p>
  </w:footnote>
  <w:footnote w:id="88">
    <w:p w14:paraId="1501EB25" w14:textId="77777777" w:rsidR="00E54204" w:rsidRPr="00E54204" w:rsidRDefault="00E54204" w:rsidP="00AA1903">
      <w:pPr>
        <w:pStyle w:val="FootnoteText"/>
      </w:pPr>
      <w:r w:rsidRPr="00E54204">
        <w:rPr>
          <w:rStyle w:val="FootnoteReference"/>
        </w:rPr>
        <w:footnoteRef/>
      </w:r>
      <w:r w:rsidRPr="00E54204">
        <w:t xml:space="preserve"> See 1 Kings 19:12.</w:t>
      </w:r>
    </w:p>
    <w:p w14:paraId="05A6AC75" w14:textId="77777777" w:rsidR="00E54204" w:rsidRPr="00E54204" w:rsidRDefault="00E54204" w:rsidP="00AA1903">
      <w:pPr>
        <w:pStyle w:val="FootnoteText"/>
      </w:pPr>
    </w:p>
  </w:footnote>
  <w:footnote w:id="89">
    <w:p w14:paraId="6632B8F4" w14:textId="77777777" w:rsidR="00E54204" w:rsidRPr="00E54204" w:rsidRDefault="00E54204" w:rsidP="00AA1903">
      <w:pPr>
        <w:pStyle w:val="FootnoteText"/>
      </w:pPr>
      <w:r w:rsidRPr="00E54204">
        <w:rPr>
          <w:rStyle w:val="FootnoteReference"/>
        </w:rPr>
        <w:footnoteRef/>
      </w:r>
      <w:r w:rsidRPr="00E54204">
        <w:t xml:space="preserve"> See Psalm 18:7-15.  The idea of the divine voice having a powerful echo plays into the idea of a heavenly echo or “daughter of a voice,” which are the terms by which the </w:t>
      </w:r>
      <w:r w:rsidRPr="00E54204">
        <w:rPr>
          <w:i/>
        </w:rPr>
        <w:t>bat kol</w:t>
      </w:r>
      <w:r w:rsidRPr="00E54204">
        <w:t xml:space="preserve"> is normally understood.</w:t>
      </w:r>
    </w:p>
    <w:p w14:paraId="42EE482D" w14:textId="77777777" w:rsidR="00E54204" w:rsidRPr="00E54204" w:rsidRDefault="00E54204" w:rsidP="00AA1903">
      <w:pPr>
        <w:pStyle w:val="FootnoteText"/>
      </w:pPr>
    </w:p>
  </w:footnote>
  <w:footnote w:id="90">
    <w:p w14:paraId="4A53B087" w14:textId="77777777" w:rsidR="00E54204" w:rsidRPr="00E54204" w:rsidRDefault="00E54204" w:rsidP="00AA1903">
      <w:pPr>
        <w:pStyle w:val="FootnoteText"/>
      </w:pPr>
      <w:r w:rsidRPr="00E54204">
        <w:rPr>
          <w:rStyle w:val="FootnoteReference"/>
        </w:rPr>
        <w:footnoteRef/>
      </w:r>
      <w:r w:rsidRPr="00E54204">
        <w:t xml:space="preserve"> See Deut. 4:30; 8:20; 13:5, 19; 15:5; 26:14.</w:t>
      </w:r>
    </w:p>
    <w:p w14:paraId="07A7FE24" w14:textId="77777777" w:rsidR="00E54204" w:rsidRPr="00E54204" w:rsidRDefault="00E54204" w:rsidP="00AA1903">
      <w:pPr>
        <w:pStyle w:val="FootnoteText"/>
      </w:pPr>
    </w:p>
  </w:footnote>
  <w:footnote w:id="91">
    <w:p w14:paraId="52CD6F69" w14:textId="77777777" w:rsidR="00E54204" w:rsidRPr="00E54204" w:rsidRDefault="00E54204" w:rsidP="00AA1903">
      <w:pPr>
        <w:pStyle w:val="FootnoteText"/>
      </w:pPr>
      <w:r w:rsidRPr="00E54204">
        <w:rPr>
          <w:rStyle w:val="FootnoteReference"/>
        </w:rPr>
        <w:footnoteRef/>
      </w:r>
      <w:r w:rsidRPr="00E54204">
        <w:t xml:space="preserve"> Kittel et al., </w:t>
      </w:r>
      <w:r w:rsidRPr="00E54204">
        <w:rPr>
          <w:i/>
        </w:rPr>
        <w:t>Theological</w:t>
      </w:r>
      <w:r w:rsidRPr="00E54204">
        <w:t>, 288.</w:t>
      </w:r>
    </w:p>
    <w:p w14:paraId="2E380229" w14:textId="77777777" w:rsidR="00E54204" w:rsidRPr="00E54204" w:rsidRDefault="00E54204" w:rsidP="00AA1903">
      <w:pPr>
        <w:pStyle w:val="FootnoteText"/>
      </w:pPr>
    </w:p>
  </w:footnote>
  <w:footnote w:id="92">
    <w:p w14:paraId="35B7B1C4" w14:textId="77777777" w:rsidR="00E54204" w:rsidRPr="00E54204" w:rsidRDefault="00E54204" w:rsidP="00AA1903">
      <w:pPr>
        <w:pStyle w:val="FootnoteText"/>
      </w:pPr>
      <w:r w:rsidRPr="00E54204">
        <w:rPr>
          <w:rStyle w:val="FootnoteReference"/>
        </w:rPr>
        <w:footnoteRef/>
      </w:r>
      <w:r w:rsidRPr="00E54204">
        <w:t xml:space="preserve"> Kittel et al., </w:t>
      </w:r>
      <w:r w:rsidRPr="00E54204">
        <w:rPr>
          <w:i/>
        </w:rPr>
        <w:t>Theological</w:t>
      </w:r>
      <w:r w:rsidRPr="00E54204">
        <w:t>, 289.</w:t>
      </w:r>
    </w:p>
    <w:p w14:paraId="632B81FF" w14:textId="77777777" w:rsidR="00E54204" w:rsidRPr="00E54204" w:rsidRDefault="00E54204" w:rsidP="00AA1903">
      <w:pPr>
        <w:pStyle w:val="FootnoteText"/>
      </w:pPr>
    </w:p>
  </w:footnote>
  <w:footnote w:id="93">
    <w:p w14:paraId="1726ECA8" w14:textId="77777777" w:rsidR="00E54204" w:rsidRPr="00E54204" w:rsidRDefault="00E54204" w:rsidP="00AA1903">
      <w:pPr>
        <w:pStyle w:val="FootnoteText"/>
      </w:pPr>
      <w:r w:rsidRPr="00E54204">
        <w:rPr>
          <w:rStyle w:val="FootnoteReference"/>
        </w:rPr>
        <w:footnoteRef/>
      </w:r>
      <w:r w:rsidRPr="00E54204">
        <w:t xml:space="preserve"> See </w:t>
      </w:r>
      <w:r w:rsidRPr="00E54204">
        <w:rPr>
          <w:i/>
        </w:rPr>
        <w:t xml:space="preserve">Canticles Rabbah </w:t>
      </w:r>
      <w:r w:rsidRPr="00E54204">
        <w:t xml:space="preserve">8:11.  Quoted by Nahum Glatzer, </w:t>
      </w:r>
      <w:r w:rsidRPr="00E54204">
        <w:rPr>
          <w:i/>
        </w:rPr>
        <w:t>Essays in Jewish Thought</w:t>
      </w:r>
      <w:r w:rsidRPr="00E54204">
        <w:t xml:space="preserve"> (University: University Press, 1978), 123.</w:t>
      </w:r>
    </w:p>
    <w:p w14:paraId="4B51946A" w14:textId="77777777" w:rsidR="00E54204" w:rsidRPr="00E54204" w:rsidRDefault="00E54204" w:rsidP="00AA1903">
      <w:pPr>
        <w:pStyle w:val="FootnoteText"/>
      </w:pPr>
    </w:p>
  </w:footnote>
  <w:footnote w:id="94">
    <w:p w14:paraId="13B786DE" w14:textId="77777777" w:rsidR="00E54204" w:rsidRPr="00E54204" w:rsidRDefault="00E54204" w:rsidP="00AA1903">
      <w:pPr>
        <w:pStyle w:val="FootnoteText"/>
      </w:pPr>
      <w:r w:rsidRPr="00E54204">
        <w:rPr>
          <w:rStyle w:val="FootnoteReference"/>
        </w:rPr>
        <w:footnoteRef/>
      </w:r>
      <w:r w:rsidRPr="00E54204">
        <w:t xml:space="preserve"> Glatzer quotes from another third-century figure, R. Joshua ben Levi, who regarded the presence of God as implicit in the Torah; cf. </w:t>
      </w:r>
      <w:r w:rsidRPr="00E54204">
        <w:rPr>
          <w:i/>
        </w:rPr>
        <w:t>Canticles Rabbah</w:t>
      </w:r>
      <w:r w:rsidRPr="00E54204">
        <w:t xml:space="preserve"> 8:13; </w:t>
      </w:r>
      <w:r w:rsidRPr="00E54204">
        <w:rPr>
          <w:i/>
        </w:rPr>
        <w:t>Leviticus Rabbah</w:t>
      </w:r>
      <w:r w:rsidRPr="00E54204">
        <w:t xml:space="preserve"> 35:6; Glatzer, </w:t>
      </w:r>
      <w:r w:rsidRPr="00E54204">
        <w:rPr>
          <w:i/>
        </w:rPr>
        <w:t>Essays</w:t>
      </w:r>
      <w:r w:rsidRPr="00E54204">
        <w:t>, 123-124.</w:t>
      </w:r>
    </w:p>
    <w:p w14:paraId="02BDBCC2" w14:textId="77777777" w:rsidR="00E54204" w:rsidRPr="00E54204" w:rsidRDefault="00E54204" w:rsidP="00AA1903">
      <w:pPr>
        <w:pStyle w:val="FootnoteText"/>
      </w:pPr>
    </w:p>
  </w:footnote>
  <w:footnote w:id="95">
    <w:p w14:paraId="43FF043E" w14:textId="77777777" w:rsidR="00E54204" w:rsidRPr="00E54204" w:rsidRDefault="00E54204" w:rsidP="00AA1903">
      <w:pPr>
        <w:pStyle w:val="FootnoteText"/>
      </w:pPr>
      <w:r w:rsidRPr="00E54204">
        <w:rPr>
          <w:rStyle w:val="FootnoteReference"/>
        </w:rPr>
        <w:footnoteRef/>
      </w:r>
      <w:r w:rsidRPr="00E54204">
        <w:t xml:space="preserve"> See </w:t>
      </w:r>
      <w:r w:rsidRPr="00E54204">
        <w:rPr>
          <w:i/>
        </w:rPr>
        <w:t xml:space="preserve">Canticles Rabbah </w:t>
      </w:r>
      <w:r w:rsidRPr="00E54204">
        <w:t>1:8.</w:t>
      </w:r>
    </w:p>
    <w:p w14:paraId="295286FC" w14:textId="77777777" w:rsidR="00E54204" w:rsidRPr="00E54204" w:rsidRDefault="00E54204" w:rsidP="00AA1903">
      <w:pPr>
        <w:pStyle w:val="FootnoteText"/>
      </w:pPr>
    </w:p>
  </w:footnote>
  <w:footnote w:id="96">
    <w:p w14:paraId="5E112E76" w14:textId="77777777" w:rsidR="00E54204" w:rsidRPr="00E54204" w:rsidRDefault="00E54204" w:rsidP="00AA1903">
      <w:pPr>
        <w:pStyle w:val="FootnoteText"/>
      </w:pPr>
      <w:r w:rsidRPr="00E54204">
        <w:rPr>
          <w:rStyle w:val="FootnoteReference"/>
        </w:rPr>
        <w:footnoteRef/>
      </w:r>
      <w:r w:rsidRPr="00E54204">
        <w:t xml:space="preserve"> See B. </w:t>
      </w:r>
      <w:r w:rsidRPr="00E54204">
        <w:rPr>
          <w:i/>
        </w:rPr>
        <w:t xml:space="preserve">Sotah </w:t>
      </w:r>
      <w:r w:rsidRPr="00E54204">
        <w:t xml:space="preserve">48b.  It is not explicit what specifically impeded the reception of the Holy Spirit.  I think it is safe to presume that it had to do with some moral failing. </w:t>
      </w:r>
    </w:p>
    <w:p w14:paraId="5430588E" w14:textId="77777777" w:rsidR="00E54204" w:rsidRPr="00E54204" w:rsidRDefault="00E54204" w:rsidP="00AA1903">
      <w:pPr>
        <w:pStyle w:val="FootnoteText"/>
      </w:pPr>
    </w:p>
  </w:footnote>
  <w:footnote w:id="97">
    <w:p w14:paraId="5DC22ACF" w14:textId="77777777" w:rsidR="00E54204" w:rsidRPr="00E54204" w:rsidRDefault="00E54204" w:rsidP="00AA1903">
      <w:pPr>
        <w:pStyle w:val="FootnoteText"/>
      </w:pPr>
      <w:r w:rsidRPr="00E54204">
        <w:rPr>
          <w:rStyle w:val="FootnoteReference"/>
        </w:rPr>
        <w:footnoteRef/>
      </w:r>
      <w:r w:rsidRPr="00E54204">
        <w:t xml:space="preserve"> Glatzer, </w:t>
      </w:r>
      <w:r w:rsidRPr="00E54204">
        <w:rPr>
          <w:i/>
        </w:rPr>
        <w:t>Essays</w:t>
      </w:r>
      <w:r w:rsidRPr="00E54204">
        <w:t xml:space="preserve">, 124.  He further comments that among other reasons, one strong possibility may have been to safeguard the community from opening itself to believing prophetic revelations propagated by groups like the Christians. </w:t>
      </w:r>
    </w:p>
    <w:p w14:paraId="7CF11E43" w14:textId="77777777" w:rsidR="00E54204" w:rsidRPr="00E54204" w:rsidRDefault="00E54204" w:rsidP="00AA1903">
      <w:pPr>
        <w:pStyle w:val="FootnoteText"/>
      </w:pPr>
    </w:p>
  </w:footnote>
  <w:footnote w:id="98">
    <w:p w14:paraId="4922F317" w14:textId="77777777" w:rsidR="00E54204" w:rsidRPr="00E54204" w:rsidRDefault="00E54204" w:rsidP="00AA1903">
      <w:pPr>
        <w:pStyle w:val="FootnoteText"/>
      </w:pPr>
      <w:r w:rsidRPr="00E54204">
        <w:rPr>
          <w:rStyle w:val="FootnoteReference"/>
        </w:rPr>
        <w:footnoteRef/>
      </w:r>
      <w:r w:rsidRPr="00E54204">
        <w:t xml:space="preserve"> A classic example is when it bellowed after three years of disagreement between the schools of Hillel and Shammai, where the “voice” laid the issue to rest.  See B. Sh. 14b.</w:t>
      </w:r>
    </w:p>
    <w:p w14:paraId="5CD491D8" w14:textId="77777777" w:rsidR="00E54204" w:rsidRPr="00E54204" w:rsidRDefault="00E54204" w:rsidP="00AA1903">
      <w:pPr>
        <w:pStyle w:val="FootnoteText"/>
      </w:pPr>
    </w:p>
  </w:footnote>
  <w:footnote w:id="99">
    <w:p w14:paraId="61EBF929" w14:textId="77777777" w:rsidR="00E54204" w:rsidRPr="00E54204" w:rsidRDefault="00E54204" w:rsidP="00AA1903">
      <w:pPr>
        <w:pStyle w:val="FootnoteText"/>
        <w:rPr>
          <w:bCs/>
        </w:rPr>
      </w:pPr>
      <w:r w:rsidRPr="00E54204">
        <w:rPr>
          <w:rStyle w:val="FootnoteReference"/>
        </w:rPr>
        <w:footnoteRef/>
      </w:r>
      <w:r w:rsidRPr="00E54204">
        <w:rPr>
          <w:bCs/>
        </w:rPr>
        <w:t xml:space="preserve"> </w:t>
      </w:r>
      <w:r w:rsidRPr="00E54204">
        <w:t>Frederick Greenspahn, “Why Prophecy Ceased”, (Journal of Biblical Literature 108, n.1: 1989),</w:t>
      </w:r>
      <w:r w:rsidRPr="00E54204">
        <w:rPr>
          <w:bCs/>
        </w:rPr>
        <w:t xml:space="preserve"> 37-49.</w:t>
      </w:r>
    </w:p>
    <w:p w14:paraId="34C2971A" w14:textId="77777777" w:rsidR="00E54204" w:rsidRPr="00E54204" w:rsidRDefault="00E54204" w:rsidP="00AA1903">
      <w:pPr>
        <w:pStyle w:val="FootnoteText"/>
        <w:rPr>
          <w:bCs/>
        </w:rPr>
      </w:pPr>
    </w:p>
  </w:footnote>
  <w:footnote w:id="100">
    <w:p w14:paraId="282B87EE" w14:textId="77777777" w:rsidR="00E54204" w:rsidRPr="00E54204" w:rsidRDefault="00E54204" w:rsidP="00AA1903">
      <w:pPr>
        <w:pStyle w:val="FootnoteText"/>
      </w:pPr>
      <w:r w:rsidRPr="00E54204">
        <w:rPr>
          <w:rStyle w:val="FootnoteReference"/>
        </w:rPr>
        <w:footnoteRef/>
      </w:r>
      <w:r w:rsidRPr="00E54204">
        <w:t xml:space="preserve"> Markus Bockmuehl, </w:t>
      </w:r>
      <w:r w:rsidRPr="00E54204">
        <w:rPr>
          <w:i/>
        </w:rPr>
        <w:t xml:space="preserve">Revelation and Mystery in Ancient Judaism and Pauline Christianity </w:t>
      </w:r>
      <w:r w:rsidRPr="00E54204">
        <w:t>(</w:t>
      </w:r>
      <w:r w:rsidRPr="00E54204">
        <w:rPr>
          <w:bCs/>
        </w:rPr>
        <w:t xml:space="preserve">Tübingen: J.C.B. Mohr, 1990), </w:t>
      </w:r>
      <w:r w:rsidRPr="00E54204">
        <w:t>107.</w:t>
      </w:r>
    </w:p>
    <w:p w14:paraId="290A73E1" w14:textId="77777777" w:rsidR="00E54204" w:rsidRPr="00E54204" w:rsidRDefault="00E54204" w:rsidP="00AA1903">
      <w:pPr>
        <w:pStyle w:val="FootnoteText"/>
      </w:pPr>
    </w:p>
  </w:footnote>
  <w:footnote w:id="101">
    <w:p w14:paraId="110C3DFB" w14:textId="77777777" w:rsidR="00E54204" w:rsidRPr="00E54204" w:rsidRDefault="00E54204" w:rsidP="00AA1903">
      <w:pPr>
        <w:pStyle w:val="FootnoteText"/>
      </w:pPr>
      <w:r w:rsidRPr="00E54204">
        <w:rPr>
          <w:rStyle w:val="FootnoteReference"/>
        </w:rPr>
        <w:footnoteRef/>
      </w:r>
      <w:r w:rsidRPr="00E54204">
        <w:t xml:space="preserve"> Bockmuehl, </w:t>
      </w:r>
      <w:r w:rsidRPr="00E54204">
        <w:rPr>
          <w:i/>
        </w:rPr>
        <w:t>Revelation</w:t>
      </w:r>
      <w:r w:rsidRPr="00E54204">
        <w:t xml:space="preserve">, 107. He too references the work of Saul Lieberman, </w:t>
      </w:r>
      <w:r w:rsidRPr="00E54204">
        <w:rPr>
          <w:i/>
        </w:rPr>
        <w:t>Hellenism in Jewish Palestine</w:t>
      </w:r>
      <w:r w:rsidRPr="00E54204">
        <w:t xml:space="preserve"> and includes Lieberman’s examples of St. Antony and St. Augustine, construing as divine, words uttered without the visibility of a speaker.  St. Antony decided to become a monk upon hearing Matthew 19:21.  Similarly, St. Augustine heard the chance utterances of children which prompted him to read the Bible. Cf. ORIGINS chapter under the sub-heading </w:t>
      </w:r>
      <w:r w:rsidRPr="00E54204">
        <w:rPr>
          <w:i/>
        </w:rPr>
        <w:t>Biblical Examples</w:t>
      </w:r>
      <w:r w:rsidRPr="00E54204">
        <w:t>, 59.</w:t>
      </w:r>
    </w:p>
    <w:p w14:paraId="1DB2855A" w14:textId="77777777" w:rsidR="00E54204" w:rsidRPr="00E54204" w:rsidRDefault="00E54204" w:rsidP="00AA1903">
      <w:pPr>
        <w:pStyle w:val="FootnoteText"/>
      </w:pPr>
    </w:p>
  </w:footnote>
  <w:footnote w:id="102">
    <w:p w14:paraId="64B285E4" w14:textId="77777777" w:rsidR="00E54204" w:rsidRPr="00E54204" w:rsidRDefault="00E54204" w:rsidP="00AA1903">
      <w:pPr>
        <w:pStyle w:val="FootnoteText"/>
      </w:pPr>
      <w:r w:rsidRPr="00E54204">
        <w:rPr>
          <w:rStyle w:val="FootnoteReference"/>
        </w:rPr>
        <w:footnoteRef/>
      </w:r>
      <w:r w:rsidRPr="00E54204">
        <w:t xml:space="preserve"> Bockmuehl, </w:t>
      </w:r>
      <w:r w:rsidRPr="00E54204">
        <w:rPr>
          <w:i/>
        </w:rPr>
        <w:t>Revelation</w:t>
      </w:r>
      <w:r w:rsidRPr="00E54204">
        <w:t>, 107.</w:t>
      </w:r>
    </w:p>
    <w:p w14:paraId="2FC75E83" w14:textId="77777777" w:rsidR="00E54204" w:rsidRPr="00E54204" w:rsidRDefault="00E54204" w:rsidP="00AA1903">
      <w:pPr>
        <w:pStyle w:val="FootnoteText"/>
      </w:pPr>
    </w:p>
  </w:footnote>
  <w:footnote w:id="103">
    <w:p w14:paraId="0E818389" w14:textId="77777777" w:rsidR="00E54204" w:rsidRPr="00E54204" w:rsidRDefault="00E54204" w:rsidP="00AA1903">
      <w:pPr>
        <w:pStyle w:val="FootnoteText"/>
      </w:pPr>
      <w:r w:rsidRPr="00E54204">
        <w:rPr>
          <w:rStyle w:val="FootnoteReference"/>
        </w:rPr>
        <w:footnoteRef/>
      </w:r>
      <w:r w:rsidRPr="00E54204">
        <w:t xml:space="preserve"> Bockmuehl, </w:t>
      </w:r>
      <w:r w:rsidRPr="00E54204">
        <w:rPr>
          <w:i/>
        </w:rPr>
        <w:t>Revelation</w:t>
      </w:r>
      <w:r w:rsidRPr="00E54204">
        <w:t>, 108; e.g. M. Yev.</w:t>
      </w:r>
      <w:r w:rsidRPr="00E54204">
        <w:rPr>
          <w:i/>
        </w:rPr>
        <w:t xml:space="preserve"> </w:t>
      </w:r>
      <w:r w:rsidRPr="00E54204">
        <w:t>16:6.</w:t>
      </w:r>
    </w:p>
    <w:p w14:paraId="199FDE3D" w14:textId="77777777" w:rsidR="00E54204" w:rsidRPr="00E54204" w:rsidRDefault="00E54204" w:rsidP="00AA1903">
      <w:pPr>
        <w:pStyle w:val="FootnoteText"/>
      </w:pPr>
    </w:p>
  </w:footnote>
  <w:footnote w:id="104">
    <w:p w14:paraId="251D77DE" w14:textId="77777777" w:rsidR="00E54204" w:rsidRPr="00E54204" w:rsidRDefault="00E54204" w:rsidP="00AA1903">
      <w:pPr>
        <w:pStyle w:val="FootnoteText"/>
        <w:rPr>
          <w:bCs/>
          <w:i/>
          <w:iCs/>
        </w:rPr>
      </w:pPr>
      <w:r w:rsidRPr="00E54204">
        <w:rPr>
          <w:rStyle w:val="FootnoteReference"/>
        </w:rPr>
        <w:footnoteRef/>
      </w:r>
      <w:r w:rsidRPr="00E54204">
        <w:t xml:space="preserve"> Rebecca Gray,</w:t>
      </w:r>
      <w:r w:rsidRPr="00E54204">
        <w:rPr>
          <w:bCs/>
          <w:i/>
          <w:iCs/>
          <w:sz w:val="24"/>
          <w:szCs w:val="22"/>
        </w:rPr>
        <w:t xml:space="preserve"> </w:t>
      </w:r>
      <w:r w:rsidRPr="00E54204">
        <w:rPr>
          <w:bCs/>
          <w:i/>
          <w:iCs/>
        </w:rPr>
        <w:t xml:space="preserve">Prophetic Figures in Late Second Temple Jewish Palestine:  The Evidence from </w:t>
      </w:r>
    </w:p>
    <w:p w14:paraId="768C51D7" w14:textId="77777777" w:rsidR="00E54204" w:rsidRPr="00E54204" w:rsidRDefault="00E54204" w:rsidP="00AA1903">
      <w:pPr>
        <w:pStyle w:val="FootnoteText"/>
      </w:pPr>
      <w:r w:rsidRPr="00E54204">
        <w:rPr>
          <w:bCs/>
          <w:i/>
          <w:iCs/>
        </w:rPr>
        <w:t>Josephus</w:t>
      </w:r>
      <w:r w:rsidRPr="00E54204">
        <w:rPr>
          <w:bCs/>
        </w:rPr>
        <w:t xml:space="preserve"> (New York: Oxford University Press, 1993),</w:t>
      </w:r>
      <w:r w:rsidRPr="00E54204">
        <w:t xml:space="preserve"> 158-163.  </w:t>
      </w:r>
    </w:p>
    <w:p w14:paraId="002CAF47" w14:textId="77777777" w:rsidR="00E54204" w:rsidRPr="00E54204" w:rsidRDefault="00E54204" w:rsidP="00AA1903">
      <w:pPr>
        <w:pStyle w:val="FootnoteText"/>
      </w:pPr>
    </w:p>
  </w:footnote>
  <w:footnote w:id="105">
    <w:p w14:paraId="4D4CE82C" w14:textId="77777777" w:rsidR="00E54204" w:rsidRPr="00E54204" w:rsidRDefault="00E54204" w:rsidP="00AA1903">
      <w:pPr>
        <w:pStyle w:val="FootnoteText"/>
      </w:pPr>
      <w:r w:rsidRPr="00E54204">
        <w:rPr>
          <w:rStyle w:val="FootnoteReference"/>
        </w:rPr>
        <w:footnoteRef/>
      </w:r>
      <w:r w:rsidRPr="00E54204">
        <w:t xml:space="preserve"> Gray, </w:t>
      </w:r>
      <w:r w:rsidRPr="00E54204">
        <w:rPr>
          <w:i/>
        </w:rPr>
        <w:t>Prophetic Figures</w:t>
      </w:r>
      <w:r w:rsidRPr="00E54204">
        <w:t>, 159.</w:t>
      </w:r>
    </w:p>
    <w:p w14:paraId="1A73AE5D" w14:textId="77777777" w:rsidR="00E54204" w:rsidRPr="00E54204" w:rsidRDefault="00E54204" w:rsidP="00AA1903">
      <w:pPr>
        <w:pStyle w:val="FootnoteText"/>
      </w:pPr>
    </w:p>
  </w:footnote>
  <w:footnote w:id="106">
    <w:p w14:paraId="62F4E77F" w14:textId="77777777" w:rsidR="00E54204" w:rsidRPr="00E54204" w:rsidRDefault="00E54204" w:rsidP="00AA1903">
      <w:pPr>
        <w:pStyle w:val="FootnoteText"/>
      </w:pPr>
      <w:r w:rsidRPr="00E54204">
        <w:rPr>
          <w:rStyle w:val="FootnoteReference"/>
        </w:rPr>
        <w:footnoteRef/>
      </w:r>
      <w:r w:rsidRPr="00E54204">
        <w:t xml:space="preserve"> She refers to David Aune’s work </w:t>
      </w:r>
      <w:r w:rsidRPr="00E54204">
        <w:rPr>
          <w:i/>
        </w:rPr>
        <w:t>Prophecy in Early Christianity</w:t>
      </w:r>
      <w:r w:rsidRPr="00E54204">
        <w:t xml:space="preserve">, (Grand Rapids: Eerdmans, 1983), 160. </w:t>
      </w:r>
    </w:p>
    <w:p w14:paraId="6861D870" w14:textId="77777777" w:rsidR="00E54204" w:rsidRPr="00E54204" w:rsidRDefault="00E54204" w:rsidP="00AA1903">
      <w:pPr>
        <w:pStyle w:val="FootnoteText"/>
      </w:pPr>
    </w:p>
  </w:footnote>
  <w:footnote w:id="107">
    <w:p w14:paraId="0CB930B5" w14:textId="77777777" w:rsidR="00E54204" w:rsidRPr="00E54204" w:rsidRDefault="00E54204" w:rsidP="00AA1903">
      <w:pPr>
        <w:pStyle w:val="FootnoteText"/>
        <w:rPr>
          <w:rFonts w:cs="Times New Roman"/>
          <w:color w:val="262626"/>
          <w:szCs w:val="18"/>
          <w:shd w:val="clear" w:color="auto" w:fill="FFFFFF"/>
        </w:rPr>
      </w:pPr>
      <w:r w:rsidRPr="00E54204">
        <w:rPr>
          <w:rStyle w:val="FootnoteReference"/>
        </w:rPr>
        <w:footnoteRef/>
      </w:r>
      <w:r w:rsidRPr="00E54204">
        <w:t xml:space="preserve"> A source I will list here is the article “Bath Kol” by Rabbi Louis Jacobs in </w:t>
      </w:r>
      <w:r w:rsidRPr="00E54204">
        <w:rPr>
          <w:i/>
        </w:rPr>
        <w:t>The Jewish Religion</w:t>
      </w:r>
      <w:r w:rsidRPr="00E54204">
        <w:t>:</w:t>
      </w:r>
      <w:r w:rsidRPr="00E54204">
        <w:rPr>
          <w:i/>
        </w:rPr>
        <w:t xml:space="preserve"> A Companion</w:t>
      </w:r>
      <w:r w:rsidRPr="00E54204">
        <w:t xml:space="preserve"> </w:t>
      </w:r>
      <w:r w:rsidRPr="00E54204">
        <w:rPr>
          <w:rFonts w:cs="Times New Roman"/>
        </w:rPr>
        <w:t>(</w:t>
      </w:r>
      <w:r w:rsidRPr="00E54204">
        <w:rPr>
          <w:rFonts w:cs="Times New Roman"/>
          <w:szCs w:val="18"/>
          <w:shd w:val="clear" w:color="auto" w:fill="FFFFFF"/>
        </w:rPr>
        <w:t xml:space="preserve">Oxford: Oxford University Press, 1995), 47.  Similarly to others, he defines the term as being, “the lowest form of direct divine inspiration.”  What is noteworthy is his mention of Jewish mystical thought preserving the idea that such an esoteric experience is still a possibility.  He notes the late-twelfth century work of Judah Ha-Levi known as </w:t>
      </w:r>
      <w:r w:rsidRPr="00E54204">
        <w:rPr>
          <w:rFonts w:cs="Times New Roman"/>
          <w:i/>
          <w:szCs w:val="18"/>
          <w:shd w:val="clear" w:color="auto" w:fill="FFFFFF"/>
        </w:rPr>
        <w:t>Kuzarri</w:t>
      </w:r>
      <w:r w:rsidRPr="00E54204">
        <w:rPr>
          <w:rFonts w:cs="Times New Roman"/>
          <w:szCs w:val="18"/>
          <w:shd w:val="clear" w:color="auto" w:fill="FFFFFF"/>
        </w:rPr>
        <w:t xml:space="preserve"> (essay 3, 11), where the writer affirms that an authentically pious person who is continually aware of God’s presence is capable of experiencing the </w:t>
      </w:r>
      <w:r w:rsidRPr="00E54204">
        <w:rPr>
          <w:rFonts w:cs="Times New Roman"/>
          <w:i/>
          <w:szCs w:val="18"/>
          <w:shd w:val="clear" w:color="auto" w:fill="FFFFFF"/>
        </w:rPr>
        <w:t>bat kol</w:t>
      </w:r>
      <w:r w:rsidRPr="00E54204">
        <w:rPr>
          <w:rFonts w:cs="Times New Roman"/>
          <w:szCs w:val="18"/>
          <w:shd w:val="clear" w:color="auto" w:fill="FFFFFF"/>
        </w:rPr>
        <w:t xml:space="preserve"> like the sages of old.  However the person should be in a holy place (i.e. the land of Israel), since practically all examples occurred in such a location.  In such case, the </w:t>
      </w:r>
      <w:r w:rsidRPr="00E54204">
        <w:rPr>
          <w:rFonts w:cs="Times New Roman"/>
          <w:i/>
          <w:szCs w:val="18"/>
          <w:shd w:val="clear" w:color="auto" w:fill="FFFFFF"/>
        </w:rPr>
        <w:t xml:space="preserve">bat kol </w:t>
      </w:r>
      <w:r w:rsidRPr="00E54204">
        <w:rPr>
          <w:rFonts w:cs="Times New Roman"/>
          <w:szCs w:val="18"/>
          <w:shd w:val="clear" w:color="auto" w:fill="FFFFFF"/>
        </w:rPr>
        <w:t>becomes a privileged from of mystical experience rather than a lesser form of revelation as some scholars posit.</w:t>
      </w:r>
    </w:p>
    <w:p w14:paraId="378E586F" w14:textId="77777777" w:rsidR="00E54204" w:rsidRPr="00E54204" w:rsidRDefault="00E54204" w:rsidP="00AA1903">
      <w:pPr>
        <w:pStyle w:val="FootnoteText"/>
      </w:pPr>
      <w:r w:rsidRPr="00E54204">
        <w:rPr>
          <w:rFonts w:cs="Times New Roman"/>
          <w:color w:val="262626"/>
          <w:szCs w:val="18"/>
          <w:shd w:val="clear" w:color="auto" w:fill="FFFFFF"/>
        </w:rPr>
        <w:t xml:space="preserve">  </w:t>
      </w:r>
    </w:p>
  </w:footnote>
  <w:footnote w:id="108">
    <w:p w14:paraId="6AE37B81" w14:textId="77777777" w:rsidR="00E54204" w:rsidRPr="00E54204" w:rsidRDefault="00E54204" w:rsidP="00AA1903">
      <w:pPr>
        <w:pStyle w:val="NoSpacing"/>
      </w:pPr>
      <w:r w:rsidRPr="00E54204">
        <w:rPr>
          <w:rStyle w:val="FootnoteReference"/>
        </w:rPr>
        <w:footnoteRef/>
      </w:r>
      <w:r w:rsidRPr="00E54204">
        <w:t xml:space="preserve"> See Alon Goshen Gottstein, </w:t>
      </w:r>
      <w:r w:rsidRPr="00E54204">
        <w:rPr>
          <w:i/>
          <w:iCs/>
        </w:rPr>
        <w:t>The Sinner and the Amnesiac: The Rabbinic Invention of Elisha Ben Abuya and Eleazar Ben Arach</w:t>
      </w:r>
      <w:r w:rsidRPr="00E54204">
        <w:t xml:space="preserve"> (Stanford: Stanford University Press, 2000), 353, n.129.</w:t>
      </w:r>
    </w:p>
    <w:p w14:paraId="3405F442" w14:textId="77777777" w:rsidR="00E54204" w:rsidRPr="00E54204" w:rsidRDefault="00E54204" w:rsidP="00AA1903">
      <w:pPr>
        <w:pStyle w:val="NoSpacing"/>
        <w:rPr>
          <w:i/>
          <w:iCs/>
        </w:rPr>
      </w:pPr>
    </w:p>
  </w:footnote>
  <w:footnote w:id="109">
    <w:p w14:paraId="63784D22" w14:textId="77777777" w:rsidR="00E54204" w:rsidRPr="00E54204" w:rsidRDefault="00E54204" w:rsidP="00AA1903">
      <w:pPr>
        <w:pStyle w:val="FootnoteText"/>
      </w:pPr>
      <w:r w:rsidRPr="00E54204">
        <w:rPr>
          <w:rStyle w:val="FootnoteReference"/>
        </w:rPr>
        <w:footnoteRef/>
      </w:r>
      <w:r w:rsidRPr="00E54204">
        <w:t xml:space="preserve"> Gottstein, </w:t>
      </w:r>
      <w:r w:rsidRPr="00E54204">
        <w:rPr>
          <w:i/>
        </w:rPr>
        <w:t>The Sinner</w:t>
      </w:r>
      <w:r w:rsidRPr="00E54204">
        <w:t>, 100.</w:t>
      </w:r>
    </w:p>
    <w:p w14:paraId="1934044B" w14:textId="77777777" w:rsidR="00E54204" w:rsidRPr="00E54204" w:rsidRDefault="00E54204" w:rsidP="00AA1903">
      <w:pPr>
        <w:pStyle w:val="FootnoteText"/>
      </w:pPr>
    </w:p>
  </w:footnote>
  <w:footnote w:id="110">
    <w:p w14:paraId="7B957D25" w14:textId="77777777" w:rsidR="00E54204" w:rsidRPr="00E54204" w:rsidRDefault="00E54204" w:rsidP="00AA1903">
      <w:pPr>
        <w:pStyle w:val="FootnoteText"/>
      </w:pPr>
      <w:r w:rsidRPr="00E54204">
        <w:rPr>
          <w:rStyle w:val="FootnoteReference"/>
        </w:rPr>
        <w:footnoteRef/>
      </w:r>
      <w:r w:rsidRPr="00E54204">
        <w:t xml:space="preserve"> M. </w:t>
      </w:r>
      <w:r w:rsidRPr="00E54204">
        <w:rPr>
          <w:i/>
        </w:rPr>
        <w:t xml:space="preserve">Avot </w:t>
      </w:r>
      <w:r w:rsidRPr="00E54204">
        <w:t xml:space="preserve">6:2.  Translation by Herbert Danby, </w:t>
      </w:r>
      <w:r w:rsidRPr="00E54204">
        <w:rPr>
          <w:i/>
        </w:rPr>
        <w:t xml:space="preserve">The Mishnah </w:t>
      </w:r>
      <w:r w:rsidRPr="00E54204">
        <w:t>(Oxford: Oxford University Press, 1933), 459.</w:t>
      </w:r>
    </w:p>
    <w:p w14:paraId="30EEF4B8" w14:textId="77777777" w:rsidR="00E54204" w:rsidRPr="00E54204" w:rsidRDefault="00E54204" w:rsidP="00AA1903">
      <w:pPr>
        <w:pStyle w:val="FootnoteText"/>
      </w:pPr>
    </w:p>
  </w:footnote>
  <w:footnote w:id="111">
    <w:p w14:paraId="5A2F0F7C" w14:textId="77777777" w:rsidR="00E54204" w:rsidRPr="00E54204" w:rsidRDefault="00E54204" w:rsidP="00AA1903">
      <w:pPr>
        <w:pStyle w:val="FootnoteText"/>
      </w:pPr>
      <w:r w:rsidRPr="00E54204">
        <w:rPr>
          <w:rStyle w:val="FootnoteReference"/>
        </w:rPr>
        <w:footnoteRef/>
      </w:r>
      <w:r w:rsidRPr="00E54204">
        <w:t xml:space="preserve"> Gottstein, </w:t>
      </w:r>
      <w:r w:rsidRPr="00E54204">
        <w:rPr>
          <w:i/>
        </w:rPr>
        <w:t>The Sinner</w:t>
      </w:r>
      <w:r w:rsidRPr="00E54204">
        <w:t>, 100.  E.g. in the Bavli: Ber. 12b, 61b; Ta. 29a; M.K. 9a; Ket. 103b; A.Z. 10b, 17a, 18a.</w:t>
      </w:r>
    </w:p>
    <w:p w14:paraId="5A71DD50" w14:textId="77777777" w:rsidR="00E54204" w:rsidRPr="00E54204" w:rsidRDefault="00E54204" w:rsidP="00AA1903">
      <w:pPr>
        <w:pStyle w:val="FootnoteText"/>
      </w:pPr>
    </w:p>
  </w:footnote>
  <w:footnote w:id="112">
    <w:p w14:paraId="5D443B06" w14:textId="77777777" w:rsidR="00E54204" w:rsidRPr="00E54204" w:rsidRDefault="00E54204" w:rsidP="00AA1903">
      <w:pPr>
        <w:pStyle w:val="FootnoteText"/>
      </w:pPr>
      <w:r w:rsidRPr="00E54204">
        <w:rPr>
          <w:rStyle w:val="FootnoteReference"/>
        </w:rPr>
        <w:footnoteRef/>
      </w:r>
      <w:r w:rsidRPr="00E54204">
        <w:t xml:space="preserve"> Gottstein, </w:t>
      </w:r>
      <w:r w:rsidRPr="00E54204">
        <w:rPr>
          <w:i/>
        </w:rPr>
        <w:t>The Sinner</w:t>
      </w:r>
      <w:r w:rsidRPr="00E54204">
        <w:t>, 21.</w:t>
      </w:r>
    </w:p>
    <w:p w14:paraId="1D9943C7" w14:textId="77777777" w:rsidR="00E54204" w:rsidRPr="00E54204" w:rsidRDefault="00E54204" w:rsidP="00AA1903">
      <w:pPr>
        <w:pStyle w:val="FootnoteText"/>
      </w:pPr>
    </w:p>
  </w:footnote>
  <w:footnote w:id="113">
    <w:p w14:paraId="1BC9E0AB" w14:textId="77777777" w:rsidR="00E54204" w:rsidRPr="00E54204" w:rsidRDefault="00E54204" w:rsidP="00AA1903">
      <w:pPr>
        <w:pStyle w:val="FootnoteText"/>
      </w:pPr>
      <w:r w:rsidRPr="00E54204">
        <w:rPr>
          <w:rStyle w:val="FootnoteReference"/>
        </w:rPr>
        <w:footnoteRef/>
      </w:r>
      <w:r w:rsidRPr="00E54204">
        <w:t xml:space="preserve"> The story is found in the B. </w:t>
      </w:r>
      <w:r w:rsidRPr="00E54204">
        <w:rPr>
          <w:i/>
        </w:rPr>
        <w:t xml:space="preserve">Chagigah </w:t>
      </w:r>
      <w:r w:rsidRPr="00E54204">
        <w:t xml:space="preserve">14b and in J. </w:t>
      </w:r>
      <w:r w:rsidRPr="00E54204">
        <w:rPr>
          <w:i/>
        </w:rPr>
        <w:t xml:space="preserve">Chagigah </w:t>
      </w:r>
      <w:r w:rsidRPr="00E54204">
        <w:t>2:1.</w:t>
      </w:r>
    </w:p>
    <w:p w14:paraId="2ABCBC84" w14:textId="77777777" w:rsidR="00E54204" w:rsidRPr="00E54204" w:rsidRDefault="00E54204" w:rsidP="00AA1903">
      <w:pPr>
        <w:pStyle w:val="FootnoteText"/>
      </w:pPr>
    </w:p>
  </w:footnote>
  <w:footnote w:id="114">
    <w:p w14:paraId="2598D6DE" w14:textId="77777777" w:rsidR="00E54204" w:rsidRPr="00E54204" w:rsidRDefault="00E54204" w:rsidP="00AA1903">
      <w:pPr>
        <w:pStyle w:val="FootnoteText"/>
      </w:pPr>
      <w:r w:rsidRPr="00E54204">
        <w:rPr>
          <w:rStyle w:val="FootnoteReference"/>
        </w:rPr>
        <w:footnoteRef/>
      </w:r>
      <w:r w:rsidRPr="00E54204">
        <w:t xml:space="preserve"> Gottstein, </w:t>
      </w:r>
      <w:r w:rsidRPr="00E54204">
        <w:rPr>
          <w:i/>
        </w:rPr>
        <w:t>The Sinner</w:t>
      </w:r>
      <w:r w:rsidRPr="00E54204">
        <w:t>, 202.  Gottstein considers the Bavli version to be the earlier and original one.</w:t>
      </w:r>
    </w:p>
    <w:p w14:paraId="7377BDFD" w14:textId="77777777" w:rsidR="00E54204" w:rsidRPr="00E54204" w:rsidRDefault="00E54204" w:rsidP="00AA1903">
      <w:pPr>
        <w:pStyle w:val="FootnoteText"/>
      </w:pPr>
    </w:p>
  </w:footnote>
  <w:footnote w:id="115">
    <w:p w14:paraId="53C08DB7" w14:textId="77777777" w:rsidR="00E54204" w:rsidRPr="00E54204" w:rsidRDefault="00E54204" w:rsidP="00AA1903">
      <w:pPr>
        <w:pStyle w:val="FootnoteText"/>
      </w:pPr>
      <w:r w:rsidRPr="00E54204">
        <w:rPr>
          <w:rStyle w:val="FootnoteReference"/>
        </w:rPr>
        <w:footnoteRef/>
      </w:r>
      <w:r w:rsidRPr="00E54204">
        <w:t xml:space="preserve"> Gottstein, </w:t>
      </w:r>
      <w:r w:rsidRPr="00E54204">
        <w:rPr>
          <w:i/>
        </w:rPr>
        <w:t>The Sinner</w:t>
      </w:r>
      <w:r w:rsidRPr="00E54204">
        <w:t>, 204.</w:t>
      </w:r>
    </w:p>
    <w:p w14:paraId="1D099A99" w14:textId="77777777" w:rsidR="00E54204" w:rsidRPr="00E54204" w:rsidRDefault="00E54204" w:rsidP="00AA1903">
      <w:pPr>
        <w:pStyle w:val="FootnoteText"/>
      </w:pPr>
    </w:p>
  </w:footnote>
  <w:footnote w:id="116">
    <w:p w14:paraId="147C8F64" w14:textId="77777777" w:rsidR="00E54204" w:rsidRPr="00E54204" w:rsidRDefault="00E54204" w:rsidP="00AA1903">
      <w:pPr>
        <w:pStyle w:val="FootnoteText"/>
        <w:rPr>
          <w:iCs/>
        </w:rPr>
      </w:pPr>
      <w:r w:rsidRPr="00E54204">
        <w:rPr>
          <w:rStyle w:val="FootnoteReference"/>
        </w:rPr>
        <w:footnoteRef/>
      </w:r>
      <w:r w:rsidRPr="00E54204">
        <w:t xml:space="preserve"> Aaron Rothkoff, "Bat Kol" </w:t>
      </w:r>
      <w:r w:rsidRPr="00E54204">
        <w:rPr>
          <w:i/>
          <w:iCs/>
        </w:rPr>
        <w:t xml:space="preserve">Encyclopaedia Judaica, </w:t>
      </w:r>
      <w:r w:rsidRPr="00E54204">
        <w:rPr>
          <w:iCs/>
        </w:rPr>
        <w:t xml:space="preserve">edited by Michael Berenbaum and Fred </w:t>
      </w:r>
    </w:p>
    <w:p w14:paraId="09959E76" w14:textId="77777777" w:rsidR="00E54204" w:rsidRPr="00E54204" w:rsidRDefault="00E54204" w:rsidP="00AA1903">
      <w:pPr>
        <w:pStyle w:val="FootnoteText"/>
      </w:pPr>
      <w:r w:rsidRPr="00E54204">
        <w:rPr>
          <w:iCs/>
        </w:rPr>
        <w:t>Skolnik (</w:t>
      </w:r>
      <w:r w:rsidRPr="00E54204">
        <w:t>Detroit: Macmillan Reference USA, 2007).</w:t>
      </w:r>
    </w:p>
    <w:p w14:paraId="4BECD202" w14:textId="77777777" w:rsidR="00E54204" w:rsidRPr="00E54204" w:rsidRDefault="00E54204" w:rsidP="00AA1903">
      <w:pPr>
        <w:pStyle w:val="FootnoteText"/>
      </w:pPr>
    </w:p>
  </w:footnote>
  <w:footnote w:id="117">
    <w:p w14:paraId="574178F5" w14:textId="77777777" w:rsidR="00E54204" w:rsidRPr="00E54204" w:rsidRDefault="00E54204" w:rsidP="00AA1903">
      <w:pPr>
        <w:pStyle w:val="FootnoteText"/>
      </w:pPr>
      <w:r w:rsidRPr="00E54204">
        <w:rPr>
          <w:rStyle w:val="FootnoteReference"/>
        </w:rPr>
        <w:footnoteRef/>
      </w:r>
      <w:r w:rsidRPr="00E54204">
        <w:t xml:space="preserve"> See. Tosefta </w:t>
      </w:r>
      <w:r w:rsidRPr="00E54204">
        <w:rPr>
          <w:i/>
        </w:rPr>
        <w:t>Sotah</w:t>
      </w:r>
      <w:r w:rsidRPr="00E54204">
        <w:t xml:space="preserve"> 13.2; B. </w:t>
      </w:r>
      <w:r w:rsidRPr="00E54204">
        <w:rPr>
          <w:i/>
        </w:rPr>
        <w:t>Sanhedrin</w:t>
      </w:r>
      <w:r w:rsidRPr="00E54204">
        <w:t xml:space="preserve"> 11a, </w:t>
      </w:r>
      <w:r w:rsidRPr="00E54204">
        <w:rPr>
          <w:i/>
        </w:rPr>
        <w:t>Sotah</w:t>
      </w:r>
      <w:r w:rsidRPr="00E54204">
        <w:t xml:space="preserve"> 48b.</w:t>
      </w:r>
    </w:p>
    <w:p w14:paraId="05CA2DDE" w14:textId="77777777" w:rsidR="00E54204" w:rsidRPr="00E54204" w:rsidRDefault="00E54204" w:rsidP="00AA1903">
      <w:pPr>
        <w:pStyle w:val="FootnoteText"/>
      </w:pPr>
    </w:p>
  </w:footnote>
  <w:footnote w:id="118">
    <w:p w14:paraId="384E4F7A" w14:textId="77777777" w:rsidR="00E54204" w:rsidRPr="00E54204" w:rsidRDefault="00E54204" w:rsidP="00AA1903">
      <w:pPr>
        <w:pStyle w:val="FootnoteText"/>
      </w:pPr>
      <w:r w:rsidRPr="00E54204">
        <w:rPr>
          <w:rStyle w:val="FootnoteReference"/>
        </w:rPr>
        <w:footnoteRef/>
      </w:r>
      <w:r w:rsidRPr="00E54204">
        <w:t xml:space="preserve"> See B. </w:t>
      </w:r>
      <w:r w:rsidRPr="00E54204">
        <w:rPr>
          <w:i/>
        </w:rPr>
        <w:t>Hagigah</w:t>
      </w:r>
      <w:r w:rsidRPr="00E54204">
        <w:t xml:space="preserve"> 14b; B. B.B. 58a, 73b-74a.</w:t>
      </w:r>
    </w:p>
    <w:p w14:paraId="2F4BCD25" w14:textId="77777777" w:rsidR="00E54204" w:rsidRPr="00E54204" w:rsidRDefault="00E54204" w:rsidP="00AA1903">
      <w:pPr>
        <w:pStyle w:val="FootnoteText"/>
      </w:pPr>
    </w:p>
  </w:footnote>
  <w:footnote w:id="119">
    <w:p w14:paraId="0A09C568" w14:textId="77777777" w:rsidR="00E54204" w:rsidRPr="00E54204" w:rsidRDefault="00E54204" w:rsidP="00AA1903">
      <w:pPr>
        <w:pStyle w:val="FootnoteText"/>
      </w:pPr>
      <w:r w:rsidRPr="00E54204">
        <w:rPr>
          <w:rStyle w:val="FootnoteReference"/>
        </w:rPr>
        <w:footnoteRef/>
      </w:r>
      <w:r w:rsidRPr="00E54204">
        <w:t xml:space="preserve"> Kristen H. Lindbeck, </w:t>
      </w:r>
      <w:r w:rsidRPr="00E54204">
        <w:rPr>
          <w:i/>
        </w:rPr>
        <w:t>Elijah in Rabbinic Culture and the Wider Culture of Late Antiquity</w:t>
      </w:r>
      <w:r w:rsidRPr="00E54204">
        <w:t xml:space="preserve"> (Columbia University Press, 2010), 55.</w:t>
      </w:r>
    </w:p>
    <w:p w14:paraId="33E6ECC4" w14:textId="77777777" w:rsidR="00E54204" w:rsidRPr="00E54204" w:rsidRDefault="00E54204" w:rsidP="00AA1903">
      <w:pPr>
        <w:pStyle w:val="FootnoteText"/>
      </w:pPr>
    </w:p>
  </w:footnote>
  <w:footnote w:id="120">
    <w:p w14:paraId="3D15E7B5" w14:textId="77777777" w:rsidR="00E54204" w:rsidRPr="00E54204" w:rsidRDefault="00E54204" w:rsidP="00AA1903">
      <w:pPr>
        <w:pStyle w:val="FootnoteText"/>
      </w:pPr>
      <w:r w:rsidRPr="00E54204">
        <w:rPr>
          <w:rStyle w:val="FootnoteReference"/>
        </w:rPr>
        <w:footnoteRef/>
      </w:r>
      <w:r w:rsidRPr="00E54204">
        <w:t xml:space="preserve"> Lindbeck, </w:t>
      </w:r>
      <w:r w:rsidRPr="00E54204">
        <w:rPr>
          <w:i/>
        </w:rPr>
        <w:t>Elijah</w:t>
      </w:r>
      <w:r w:rsidRPr="00E54204">
        <w:t>, 55.</w:t>
      </w:r>
    </w:p>
    <w:p w14:paraId="0C66CFB1" w14:textId="77777777" w:rsidR="00E54204" w:rsidRPr="00E54204" w:rsidRDefault="00E54204" w:rsidP="00AA1903">
      <w:pPr>
        <w:pStyle w:val="FootnoteText"/>
      </w:pPr>
    </w:p>
  </w:footnote>
  <w:footnote w:id="121">
    <w:p w14:paraId="5F3A70F9" w14:textId="77777777" w:rsidR="00E54204" w:rsidRPr="00E54204" w:rsidRDefault="00E54204" w:rsidP="00AA1903">
      <w:pPr>
        <w:pStyle w:val="FootnoteText"/>
      </w:pPr>
      <w:r w:rsidRPr="00E54204">
        <w:rPr>
          <w:rStyle w:val="FootnoteReference"/>
        </w:rPr>
        <w:footnoteRef/>
      </w:r>
      <w:r w:rsidRPr="00E54204">
        <w:t xml:space="preserve"> Lindbeck, </w:t>
      </w:r>
      <w:r w:rsidRPr="00E54204">
        <w:rPr>
          <w:i/>
        </w:rPr>
        <w:t>Elijah</w:t>
      </w:r>
      <w:r w:rsidRPr="00E54204">
        <w:t>, 56.</w:t>
      </w:r>
    </w:p>
    <w:p w14:paraId="600CD8B9" w14:textId="77777777" w:rsidR="00E54204" w:rsidRPr="00E54204" w:rsidRDefault="00E54204" w:rsidP="00AA1903">
      <w:pPr>
        <w:pStyle w:val="FootnoteText"/>
      </w:pPr>
    </w:p>
  </w:footnote>
  <w:footnote w:id="122">
    <w:p w14:paraId="67E309FF" w14:textId="77777777" w:rsidR="00E54204" w:rsidRPr="00E54204" w:rsidRDefault="00E54204" w:rsidP="00AA1903">
      <w:pPr>
        <w:pStyle w:val="FootnoteText"/>
      </w:pPr>
      <w:r w:rsidRPr="00E54204">
        <w:rPr>
          <w:rStyle w:val="FootnoteReference"/>
        </w:rPr>
        <w:footnoteRef/>
      </w:r>
      <w:r w:rsidRPr="00E54204">
        <w:t xml:space="preserve"> Lindbeck, </w:t>
      </w:r>
      <w:r w:rsidRPr="00E54204">
        <w:rPr>
          <w:i/>
        </w:rPr>
        <w:t>Elijah</w:t>
      </w:r>
      <w:r w:rsidRPr="00E54204">
        <w:t>, 55.</w:t>
      </w:r>
    </w:p>
    <w:p w14:paraId="0C035ED8" w14:textId="77777777" w:rsidR="00E54204" w:rsidRPr="00E54204" w:rsidRDefault="00E54204" w:rsidP="00AA1903">
      <w:pPr>
        <w:pStyle w:val="FootnoteText"/>
      </w:pPr>
    </w:p>
  </w:footnote>
  <w:footnote w:id="123">
    <w:p w14:paraId="785A4AD3" w14:textId="77777777" w:rsidR="00E54204" w:rsidRPr="00E54204" w:rsidRDefault="00E54204" w:rsidP="00AA1903">
      <w:pPr>
        <w:pStyle w:val="FootnoteText"/>
      </w:pPr>
      <w:r w:rsidRPr="00E54204">
        <w:rPr>
          <w:rStyle w:val="FootnoteReference"/>
        </w:rPr>
        <w:footnoteRef/>
      </w:r>
      <w:r w:rsidRPr="00E54204">
        <w:t xml:space="preserve"> Lindbeck, </w:t>
      </w:r>
      <w:r w:rsidRPr="00E54204">
        <w:rPr>
          <w:i/>
        </w:rPr>
        <w:t>Elijah</w:t>
      </w:r>
      <w:r w:rsidRPr="00E54204">
        <w:t>, 44-45, 57.</w:t>
      </w:r>
    </w:p>
    <w:p w14:paraId="3AF56FFF" w14:textId="77777777" w:rsidR="00E54204" w:rsidRPr="00E54204" w:rsidRDefault="00E54204" w:rsidP="00AA1903">
      <w:pPr>
        <w:pStyle w:val="FootnoteText"/>
      </w:pPr>
    </w:p>
  </w:footnote>
  <w:footnote w:id="124">
    <w:p w14:paraId="74D6607A" w14:textId="77777777" w:rsidR="00E54204" w:rsidRPr="00E54204" w:rsidRDefault="00E54204" w:rsidP="00AA1903">
      <w:pPr>
        <w:pStyle w:val="FootnoteText"/>
      </w:pPr>
      <w:r w:rsidRPr="00E54204">
        <w:rPr>
          <w:rStyle w:val="FootnoteReference"/>
        </w:rPr>
        <w:footnoteRef/>
      </w:r>
      <w:r w:rsidRPr="00E54204">
        <w:t xml:space="preserve"> Stephen L. Cook, </w:t>
      </w:r>
      <w:r w:rsidRPr="00E54204">
        <w:rPr>
          <w:i/>
        </w:rPr>
        <w:t>On the Question of the “Cessation of Prophecy</w:t>
      </w:r>
      <w:r w:rsidR="009B0062">
        <w:rPr>
          <w:i/>
        </w:rPr>
        <w:t>”</w:t>
      </w:r>
      <w:r w:rsidRPr="00E54204">
        <w:rPr>
          <w:i/>
        </w:rPr>
        <w:t xml:space="preserve"> in Ancient Judaism</w:t>
      </w:r>
      <w:r w:rsidRPr="00E54204">
        <w:t xml:space="preserve"> (Tübingen: Mohr Siebeck, 2011), 159.  The text </w:t>
      </w:r>
      <w:r w:rsidRPr="00E54204">
        <w:rPr>
          <w:i/>
        </w:rPr>
        <w:t>Pesikta Rabbati</w:t>
      </w:r>
      <w:r w:rsidRPr="00E54204">
        <w:t xml:space="preserve"> 35 essentially states that if all of Israel would go up to the land, then the Presence would dwell in it, but if not, they would only have the echo of the </w:t>
      </w:r>
      <w:r w:rsidRPr="00E54204">
        <w:rPr>
          <w:i/>
        </w:rPr>
        <w:t>bat kol</w:t>
      </w:r>
      <w:r w:rsidRPr="00E54204">
        <w:t xml:space="preserve">; translation from, Stephen L. Cook, </w:t>
      </w:r>
      <w:r w:rsidRPr="00E54204">
        <w:rPr>
          <w:i/>
        </w:rPr>
        <w:t>On the Question of the “Cessation of Prophecy</w:t>
      </w:r>
      <w:r w:rsidR="009B0062">
        <w:rPr>
          <w:i/>
        </w:rPr>
        <w:t>”</w:t>
      </w:r>
      <w:r w:rsidRPr="00E54204">
        <w:rPr>
          <w:i/>
        </w:rPr>
        <w:t xml:space="preserve"> in Ancient Judaism</w:t>
      </w:r>
      <w:r w:rsidRPr="00E54204">
        <w:t xml:space="preserve"> (Tübingen: Mohr Siebeck, 2011), 160.  Here we read how God’s presence is substituted by the less preferred “voice from heaven.”</w:t>
      </w:r>
    </w:p>
    <w:p w14:paraId="5F40162A" w14:textId="77777777" w:rsidR="00E54204" w:rsidRPr="00E54204" w:rsidRDefault="00E54204" w:rsidP="00AA1903">
      <w:pPr>
        <w:pStyle w:val="FootnoteText"/>
      </w:pPr>
    </w:p>
  </w:footnote>
  <w:footnote w:id="125">
    <w:p w14:paraId="389F2E30" w14:textId="77777777" w:rsidR="00E54204" w:rsidRPr="00E54204" w:rsidRDefault="00E54204" w:rsidP="00AA1903">
      <w:pPr>
        <w:pStyle w:val="FootnoteText"/>
      </w:pPr>
      <w:r w:rsidRPr="00E54204">
        <w:rPr>
          <w:rStyle w:val="FootnoteReference"/>
        </w:rPr>
        <w:footnoteRef/>
      </w:r>
      <w:r w:rsidRPr="00E54204">
        <w:t xml:space="preserve"> Cook, </w:t>
      </w:r>
      <w:r w:rsidRPr="00E54204">
        <w:rPr>
          <w:i/>
        </w:rPr>
        <w:t>On the Question,</w:t>
      </w:r>
      <w:r w:rsidRPr="00E54204">
        <w:t xml:space="preserve"> 175.</w:t>
      </w:r>
    </w:p>
    <w:p w14:paraId="4DBBB49D" w14:textId="77777777" w:rsidR="00E54204" w:rsidRPr="00E54204" w:rsidRDefault="00E54204" w:rsidP="00AA1903">
      <w:pPr>
        <w:pStyle w:val="FootnoteText"/>
      </w:pPr>
    </w:p>
  </w:footnote>
  <w:footnote w:id="126">
    <w:p w14:paraId="350CC852" w14:textId="77777777" w:rsidR="00E54204" w:rsidRPr="00E54204" w:rsidRDefault="00E54204" w:rsidP="00AA1903">
      <w:pPr>
        <w:pStyle w:val="FootnoteText"/>
      </w:pPr>
      <w:r w:rsidRPr="00E54204">
        <w:rPr>
          <w:rStyle w:val="FootnoteReference"/>
        </w:rPr>
        <w:footnoteRef/>
      </w:r>
      <w:r w:rsidRPr="00E54204">
        <w:t xml:space="preserve"> Cook, </w:t>
      </w:r>
      <w:r w:rsidRPr="00E54204">
        <w:rPr>
          <w:i/>
        </w:rPr>
        <w:t>On the Question,</w:t>
      </w:r>
      <w:r w:rsidRPr="00E54204">
        <w:t xml:space="preserve"> 175.</w:t>
      </w:r>
    </w:p>
    <w:p w14:paraId="466DD119" w14:textId="77777777" w:rsidR="00E54204" w:rsidRPr="00E54204" w:rsidRDefault="00E54204" w:rsidP="00AA1903">
      <w:pPr>
        <w:pStyle w:val="FootnoteText"/>
      </w:pPr>
    </w:p>
  </w:footnote>
  <w:footnote w:id="127">
    <w:p w14:paraId="7DFB87B7" w14:textId="77777777" w:rsidR="00E54204" w:rsidRPr="00E54204" w:rsidRDefault="00E54204" w:rsidP="00AA1903">
      <w:pPr>
        <w:pStyle w:val="FootnoteText"/>
      </w:pPr>
      <w:r w:rsidRPr="00E54204">
        <w:rPr>
          <w:rStyle w:val="FootnoteReference"/>
        </w:rPr>
        <w:footnoteRef/>
      </w:r>
      <w:r w:rsidRPr="00E54204">
        <w:t xml:space="preserve"> Cook, </w:t>
      </w:r>
      <w:r w:rsidRPr="00E54204">
        <w:rPr>
          <w:i/>
        </w:rPr>
        <w:t>On the Question,</w:t>
      </w:r>
      <w:r w:rsidRPr="00E54204">
        <w:t xml:space="preserve"> 172.</w:t>
      </w:r>
    </w:p>
    <w:p w14:paraId="35927D4E" w14:textId="77777777" w:rsidR="00E54204" w:rsidRPr="00E54204" w:rsidRDefault="00E54204" w:rsidP="00AA1903">
      <w:pPr>
        <w:pStyle w:val="FootnoteText"/>
      </w:pPr>
    </w:p>
  </w:footnote>
  <w:footnote w:id="128">
    <w:p w14:paraId="4FDDDCB2" w14:textId="77777777" w:rsidR="00E54204" w:rsidRPr="00E54204" w:rsidRDefault="00E54204">
      <w:pPr>
        <w:pStyle w:val="FootnoteText"/>
      </w:pPr>
      <w:r w:rsidRPr="00E54204">
        <w:rPr>
          <w:rStyle w:val="FootnoteReference"/>
        </w:rPr>
        <w:footnoteRef/>
      </w:r>
      <w:r w:rsidRPr="00E54204">
        <w:t xml:space="preserve"> Another possibility is that </w:t>
      </w:r>
      <w:r w:rsidRPr="00E54204">
        <w:rPr>
          <w:i/>
        </w:rPr>
        <w:t xml:space="preserve">bat </w:t>
      </w:r>
      <w:r w:rsidRPr="00E54204">
        <w:t>was meant to denote its status as an offspring of Biblical prophecy.</w:t>
      </w:r>
    </w:p>
    <w:p w14:paraId="0D687DD2" w14:textId="77777777" w:rsidR="00E54204" w:rsidRPr="00E54204" w:rsidRDefault="00E54204">
      <w:pPr>
        <w:pStyle w:val="FootnoteText"/>
      </w:pPr>
    </w:p>
  </w:footnote>
  <w:footnote w:id="129">
    <w:p w14:paraId="7CAF9D01" w14:textId="77777777" w:rsidR="00E54204" w:rsidRPr="00E54204" w:rsidRDefault="00E54204">
      <w:pPr>
        <w:pStyle w:val="FootnoteText"/>
      </w:pPr>
      <w:r w:rsidRPr="00E54204">
        <w:rPr>
          <w:rStyle w:val="FootnoteReference"/>
        </w:rPr>
        <w:footnoteRef/>
      </w:r>
      <w:r w:rsidRPr="00E54204">
        <w:t xml:space="preserve"> B. So. 33a.</w:t>
      </w:r>
    </w:p>
  </w:footnote>
  <w:footnote w:id="130">
    <w:p w14:paraId="782726A5" w14:textId="77777777" w:rsidR="00E54204" w:rsidRPr="00E54204" w:rsidRDefault="00E54204" w:rsidP="00AA1903">
      <w:pPr>
        <w:pStyle w:val="FootnoteText"/>
      </w:pPr>
      <w:r w:rsidRPr="00E54204">
        <w:rPr>
          <w:rStyle w:val="FootnoteReference"/>
        </w:rPr>
        <w:footnoteRef/>
      </w:r>
      <w:r w:rsidRPr="00E54204">
        <w:t xml:space="preserve"> Arabic poetry contains a later cognate, </w:t>
      </w:r>
      <w:r w:rsidRPr="00E54204">
        <w:rPr>
          <w:i/>
        </w:rPr>
        <w:t>hatif</w:t>
      </w:r>
      <w:r w:rsidRPr="00E54204">
        <w:t xml:space="preserve">, which according to William Kirkpatrick means, “crying, exclaiming, but commonly signifying an angel or aerial spirit, who declares to mortals the will of Heaven, or suggests to them how they should act in order to obtain their desires; cf. William Kirkpatrick, </w:t>
      </w:r>
      <w:r w:rsidRPr="00E54204">
        <w:rPr>
          <w:i/>
        </w:rPr>
        <w:t>A Vocabulary Persian, Arabic, and English…</w:t>
      </w:r>
      <w:r w:rsidRPr="00E54204">
        <w:t xml:space="preserve"> (London: Cooper, 1785), 191.  </w:t>
      </w:r>
    </w:p>
    <w:p w14:paraId="11028EBE" w14:textId="77777777" w:rsidR="00E54204" w:rsidRPr="00E54204" w:rsidRDefault="00E54204" w:rsidP="00AA1903">
      <w:pPr>
        <w:pStyle w:val="FootnoteText"/>
      </w:pPr>
    </w:p>
  </w:footnote>
  <w:footnote w:id="131">
    <w:p w14:paraId="2A2AB9CF" w14:textId="77777777" w:rsidR="00E54204" w:rsidRPr="00E54204" w:rsidRDefault="00E54204">
      <w:pPr>
        <w:pStyle w:val="FootnoteText"/>
      </w:pPr>
      <w:r w:rsidRPr="00E54204">
        <w:rPr>
          <w:rStyle w:val="FootnoteReference"/>
        </w:rPr>
        <w:footnoteRef/>
      </w:r>
      <w:r w:rsidRPr="00E54204">
        <w:t xml:space="preserve"> Kitto, </w:t>
      </w:r>
      <w:r w:rsidRPr="00E54204">
        <w:rPr>
          <w:i/>
        </w:rPr>
        <w:t>Cyclopedia</w:t>
      </w:r>
      <w:r w:rsidRPr="00E54204">
        <w:t>, 304.</w:t>
      </w:r>
    </w:p>
    <w:p w14:paraId="4427092C" w14:textId="77777777" w:rsidR="00E54204" w:rsidRPr="00E54204" w:rsidRDefault="00E54204">
      <w:pPr>
        <w:pStyle w:val="FootnoteText"/>
      </w:pPr>
    </w:p>
  </w:footnote>
  <w:footnote w:id="132">
    <w:p w14:paraId="2897C80F" w14:textId="77777777" w:rsidR="00E54204" w:rsidRPr="00E54204" w:rsidRDefault="00E54204" w:rsidP="00AA1903">
      <w:pPr>
        <w:pStyle w:val="FootnoteText"/>
      </w:pPr>
      <w:r w:rsidRPr="00E54204">
        <w:rPr>
          <w:rStyle w:val="FootnoteReference"/>
        </w:rPr>
        <w:footnoteRef/>
      </w:r>
      <w:r w:rsidRPr="00E54204">
        <w:t xml:space="preserve"> John Collins in his commentary on Daniel wrote that “divine or heavenly voices” are more widely attested in the Hellenistic world.  He cites an example from Theopompus (fourth century BCE) who narrates that when Epimenides wanted to build a shrine for the Nymphs, “a voice burst from heaven” telling him to build it for Zeus instead.  Cf. </w:t>
      </w:r>
      <w:r w:rsidRPr="00E54204">
        <w:rPr>
          <w:i/>
        </w:rPr>
        <w:t>Daniel: A Commentary on the Book of Daniel</w:t>
      </w:r>
      <w:r w:rsidRPr="00E54204">
        <w:t xml:space="preserve"> (Minneapolis: Fortress Press, 1993), 231, n.134.</w:t>
      </w:r>
    </w:p>
    <w:p w14:paraId="61E2B094" w14:textId="77777777" w:rsidR="00E54204" w:rsidRPr="00E54204" w:rsidRDefault="00E54204" w:rsidP="00AA1903">
      <w:pPr>
        <w:pStyle w:val="FootnoteText"/>
      </w:pPr>
      <w:r w:rsidRPr="00E54204">
        <w:t xml:space="preserve">   </w:t>
      </w:r>
    </w:p>
  </w:footnote>
  <w:footnote w:id="133">
    <w:p w14:paraId="509D0265" w14:textId="77777777" w:rsidR="00E54204" w:rsidRPr="00E54204" w:rsidRDefault="00E54204" w:rsidP="00AA1903">
      <w:pPr>
        <w:pStyle w:val="FootnoteText"/>
      </w:pPr>
      <w:r w:rsidRPr="00E54204">
        <w:rPr>
          <w:rStyle w:val="FootnoteReference"/>
        </w:rPr>
        <w:footnoteRef/>
      </w:r>
      <w:r w:rsidRPr="00E54204">
        <w:t xml:space="preserve"> See Kittel et al., </w:t>
      </w:r>
      <w:r w:rsidRPr="00E54204">
        <w:rPr>
          <w:i/>
        </w:rPr>
        <w:t>Theological</w:t>
      </w:r>
      <w:r w:rsidRPr="00E54204">
        <w:t>, 288.</w:t>
      </w:r>
    </w:p>
    <w:p w14:paraId="3271B45C" w14:textId="77777777" w:rsidR="00E54204" w:rsidRPr="00E54204" w:rsidRDefault="00E54204" w:rsidP="00AA1903">
      <w:pPr>
        <w:pStyle w:val="FootnoteText"/>
      </w:pPr>
    </w:p>
  </w:footnote>
  <w:footnote w:id="134">
    <w:p w14:paraId="4F20F4D4" w14:textId="77777777" w:rsidR="00E54204" w:rsidRPr="00E54204" w:rsidRDefault="00E54204" w:rsidP="00AA1903">
      <w:pPr>
        <w:pStyle w:val="FootnoteText"/>
      </w:pPr>
      <w:r w:rsidRPr="00E54204">
        <w:rPr>
          <w:rStyle w:val="FootnoteReference"/>
        </w:rPr>
        <w:footnoteRef/>
      </w:r>
      <w:r w:rsidRPr="00E54204">
        <w:t xml:space="preserve"> Tosefta is Aramaic for “supplement.”  It is dated to the time of the Mishnah; ca. 200CE often providing complementary and supplementary material to the Mishna, such as Biblical justifications for legal rulings.  According to Moore, it is quoted in the Talmud as a </w:t>
      </w:r>
      <w:r w:rsidRPr="00E54204">
        <w:rPr>
          <w:i/>
        </w:rPr>
        <w:t>Baraita,</w:t>
      </w:r>
      <w:r w:rsidRPr="00E54204">
        <w:t xml:space="preserve"> which is an “extraneous” tradition of the sages of Israel from the first two centuries CE.  See Moore, </w:t>
      </w:r>
      <w:r w:rsidRPr="00E54204">
        <w:rPr>
          <w:i/>
        </w:rPr>
        <w:t>Judaism</w:t>
      </w:r>
      <w:r w:rsidRPr="00E54204">
        <w:t>, vol. I, 97.</w:t>
      </w:r>
    </w:p>
    <w:p w14:paraId="3E5D46D4" w14:textId="77777777" w:rsidR="00E54204" w:rsidRPr="00E54204" w:rsidRDefault="00E54204" w:rsidP="00AA1903">
      <w:pPr>
        <w:pStyle w:val="FootnoteText"/>
      </w:pPr>
      <w:r w:rsidRPr="00E54204">
        <w:rPr>
          <w:i/>
        </w:rPr>
        <w:t xml:space="preserve"> </w:t>
      </w:r>
    </w:p>
  </w:footnote>
  <w:footnote w:id="135">
    <w:p w14:paraId="1B72F661" w14:textId="77777777" w:rsidR="00E54204" w:rsidRPr="00E54204" w:rsidRDefault="00E54204" w:rsidP="00AA1903">
      <w:pPr>
        <w:pStyle w:val="FootnoteText"/>
        <w:rPr>
          <w:rFonts w:cs="Times New Roman"/>
          <w:bCs/>
          <w:lang w:bidi="he-IL"/>
        </w:rPr>
      </w:pPr>
      <w:r w:rsidRPr="00E54204">
        <w:rPr>
          <w:rStyle w:val="FootnoteReference"/>
        </w:rPr>
        <w:footnoteRef/>
      </w:r>
      <w:r w:rsidRPr="00E54204">
        <w:t xml:space="preserve"> See Tosefta </w:t>
      </w:r>
      <w:r w:rsidRPr="00E54204">
        <w:rPr>
          <w:i/>
        </w:rPr>
        <w:t>Sotah</w:t>
      </w:r>
      <w:r w:rsidRPr="00E54204">
        <w:t xml:space="preserve"> 13:2.  Similar statements are found in B. </w:t>
      </w:r>
      <w:r w:rsidRPr="00E54204">
        <w:rPr>
          <w:rFonts w:cs="Times New Roman"/>
          <w:bCs/>
          <w:i/>
          <w:lang w:bidi="he-IL"/>
        </w:rPr>
        <w:t>Yoma</w:t>
      </w:r>
      <w:r w:rsidRPr="00E54204">
        <w:rPr>
          <w:rFonts w:cs="Times New Roman"/>
          <w:bCs/>
          <w:lang w:bidi="he-IL"/>
        </w:rPr>
        <w:t xml:space="preserve"> 9b; </w:t>
      </w:r>
      <w:r w:rsidRPr="00E54204">
        <w:rPr>
          <w:rFonts w:cs="Times New Roman"/>
          <w:bCs/>
          <w:i/>
          <w:lang w:bidi="he-IL"/>
        </w:rPr>
        <w:t>Sotah</w:t>
      </w:r>
      <w:r w:rsidRPr="00E54204">
        <w:rPr>
          <w:rFonts w:cs="Times New Roman"/>
          <w:bCs/>
          <w:lang w:bidi="he-IL"/>
        </w:rPr>
        <w:t xml:space="preserve"> 48b; </w:t>
      </w:r>
      <w:r w:rsidRPr="00E54204">
        <w:rPr>
          <w:rFonts w:cs="Times New Roman"/>
          <w:bCs/>
          <w:i/>
          <w:lang w:bidi="he-IL"/>
        </w:rPr>
        <w:t>San.</w:t>
      </w:r>
      <w:r w:rsidRPr="00E54204">
        <w:rPr>
          <w:rFonts w:cs="Times New Roman"/>
          <w:bCs/>
          <w:lang w:bidi="he-IL"/>
        </w:rPr>
        <w:t>11a.</w:t>
      </w:r>
    </w:p>
    <w:p w14:paraId="2462A608" w14:textId="77777777" w:rsidR="00E54204" w:rsidRPr="00E54204" w:rsidRDefault="00E54204" w:rsidP="00AA1903">
      <w:pPr>
        <w:pStyle w:val="FootnoteText"/>
        <w:rPr>
          <w:bCs/>
        </w:rPr>
      </w:pPr>
    </w:p>
  </w:footnote>
  <w:footnote w:id="136">
    <w:p w14:paraId="77883C9F" w14:textId="77777777" w:rsidR="00E54204" w:rsidRPr="00E54204" w:rsidRDefault="00E54204" w:rsidP="00AA1903">
      <w:pPr>
        <w:pStyle w:val="FootnoteText"/>
      </w:pPr>
      <w:r w:rsidRPr="00E54204">
        <w:rPr>
          <w:rStyle w:val="FootnoteReference"/>
        </w:rPr>
        <w:footnoteRef/>
      </w:r>
      <w:r w:rsidRPr="00E54204">
        <w:t xml:space="preserve"> Frederick Greenspahn noted the interchange between “Spirit of prophecy” and “Holy Spirit” in the Aramaic translations of the Hebrew Bible known as Targumim; cf. Frederick Greenspahn, “Why Prophecy”, 37.</w:t>
      </w:r>
    </w:p>
    <w:p w14:paraId="408A970C" w14:textId="77777777" w:rsidR="00E54204" w:rsidRPr="00E54204" w:rsidRDefault="00E54204" w:rsidP="00AA1903">
      <w:pPr>
        <w:pStyle w:val="FootnoteText"/>
      </w:pPr>
    </w:p>
  </w:footnote>
  <w:footnote w:id="137">
    <w:p w14:paraId="1FD187CB" w14:textId="77777777" w:rsidR="00E54204" w:rsidRPr="00E54204" w:rsidRDefault="00E54204" w:rsidP="00AA1903">
      <w:pPr>
        <w:pStyle w:val="FootnoteText"/>
      </w:pPr>
      <w:r w:rsidRPr="00E54204">
        <w:rPr>
          <w:rStyle w:val="FootnoteReference"/>
        </w:rPr>
        <w:footnoteRef/>
      </w:r>
      <w:r w:rsidRPr="00E54204">
        <w:t xml:space="preserve"> See J. Ta. 65a; B. Yo. 21b; </w:t>
      </w:r>
      <w:r w:rsidRPr="00E54204">
        <w:rPr>
          <w:i/>
        </w:rPr>
        <w:t>Numbers Rabbah</w:t>
      </w:r>
      <w:r w:rsidRPr="00E54204">
        <w:t xml:space="preserve">. 15:10; </w:t>
      </w:r>
      <w:r w:rsidRPr="00E54204">
        <w:rPr>
          <w:i/>
        </w:rPr>
        <w:t>Canticles Rabbah</w:t>
      </w:r>
      <w:r w:rsidRPr="00E54204">
        <w:t>. 8:9.  Hence for Greenspahn he sees the rabbinic position as generally deeming the withdrawal of the Holy Spirit sometime between the sixth-fourth centuries BCE; Greenspahn, “Why Prophecy”, 38.  The First Temple was erected by Solomon ca. tenth century BCE and stood until the destruction by the Babylonians in 586 BCE.  The Second Temple was built in latter part of the sixth century BCE by Ezra and Nehemiah (with major renovations by Herod) until its destruction by the Romans in 70 CE.</w:t>
      </w:r>
    </w:p>
    <w:p w14:paraId="445347D2" w14:textId="77777777" w:rsidR="00E54204" w:rsidRPr="00E54204" w:rsidRDefault="00E54204" w:rsidP="00AA1903">
      <w:pPr>
        <w:pStyle w:val="FootnoteText"/>
      </w:pPr>
    </w:p>
  </w:footnote>
  <w:footnote w:id="138">
    <w:p w14:paraId="49F70B4B" w14:textId="77777777" w:rsidR="00E54204" w:rsidRPr="00E54204" w:rsidRDefault="00E54204" w:rsidP="00AA1903">
      <w:pPr>
        <w:pStyle w:val="FootnoteText"/>
      </w:pPr>
      <w:r w:rsidRPr="00E54204">
        <w:rPr>
          <w:rStyle w:val="FootnoteReference"/>
        </w:rPr>
        <w:footnoteRef/>
      </w:r>
      <w:r w:rsidRPr="00E54204">
        <w:t xml:space="preserve"> See Arthur Marmorstein, </w:t>
      </w:r>
      <w:r w:rsidRPr="00E54204">
        <w:rPr>
          <w:i/>
        </w:rPr>
        <w:t>Studies in Jewish Theology</w:t>
      </w:r>
      <w:r w:rsidRPr="00E54204">
        <w:t xml:space="preserve"> (London: Oxford University Press, 1950), 38, n.9.  Y. Kauffman considered sin to be the main reason for the rabbis’ position that the Holy Spirit had departed; cf. Greenspahn, “Why Prophecy”, 39.</w:t>
      </w:r>
    </w:p>
    <w:p w14:paraId="25792B71" w14:textId="77777777" w:rsidR="00E54204" w:rsidRPr="00E54204" w:rsidRDefault="00E54204" w:rsidP="00AA1903">
      <w:pPr>
        <w:pStyle w:val="FootnoteText"/>
      </w:pPr>
    </w:p>
  </w:footnote>
  <w:footnote w:id="139">
    <w:p w14:paraId="348456CF" w14:textId="77777777" w:rsidR="00E54204" w:rsidRPr="00E54204" w:rsidRDefault="00E54204" w:rsidP="00AA1903">
      <w:pPr>
        <w:pStyle w:val="FootnoteText"/>
      </w:pPr>
      <w:r w:rsidRPr="00E54204">
        <w:rPr>
          <w:rStyle w:val="FootnoteReference"/>
        </w:rPr>
        <w:footnoteRef/>
      </w:r>
      <w:r w:rsidRPr="00E54204">
        <w:t xml:space="preserve"> Greenspahn, “Why Prophecy”, 37.</w:t>
      </w:r>
    </w:p>
    <w:p w14:paraId="540304FC" w14:textId="77777777" w:rsidR="00E54204" w:rsidRPr="00E54204" w:rsidRDefault="00E54204" w:rsidP="00AA1903">
      <w:pPr>
        <w:pStyle w:val="FootnoteText"/>
      </w:pPr>
    </w:p>
  </w:footnote>
  <w:footnote w:id="140">
    <w:p w14:paraId="12E323D2" w14:textId="77777777" w:rsidR="00E54204" w:rsidRPr="00E54204" w:rsidRDefault="00E54204" w:rsidP="00AA1903">
      <w:pPr>
        <w:pStyle w:val="FootnoteText"/>
      </w:pPr>
      <w:r w:rsidRPr="00E54204">
        <w:rPr>
          <w:rStyle w:val="FootnoteReference"/>
        </w:rPr>
        <w:footnoteRef/>
      </w:r>
      <w:r w:rsidRPr="00E54204">
        <w:t xml:space="preserve"> Greenspahn, “Why Prophecy”,</w:t>
      </w:r>
      <w:r w:rsidRPr="00E54204">
        <w:rPr>
          <w:i/>
        </w:rPr>
        <w:t xml:space="preserve"> </w:t>
      </w:r>
      <w:r w:rsidRPr="00E54204">
        <w:t>42.</w:t>
      </w:r>
    </w:p>
    <w:p w14:paraId="2EE1F4D3" w14:textId="77777777" w:rsidR="00E54204" w:rsidRPr="00E54204" w:rsidRDefault="00E54204" w:rsidP="00AA1903">
      <w:pPr>
        <w:pStyle w:val="FootnoteText"/>
      </w:pPr>
    </w:p>
  </w:footnote>
  <w:footnote w:id="141">
    <w:p w14:paraId="2D7A0BB5" w14:textId="77777777" w:rsidR="00E54204" w:rsidRPr="00E54204" w:rsidRDefault="00E54204" w:rsidP="00AA1903">
      <w:pPr>
        <w:pStyle w:val="FootnoteText"/>
      </w:pPr>
      <w:r w:rsidRPr="00E54204">
        <w:rPr>
          <w:rStyle w:val="FootnoteReference"/>
        </w:rPr>
        <w:footnoteRef/>
      </w:r>
      <w:r w:rsidRPr="00E54204">
        <w:t xml:space="preserve"> See M. Sa. 1:5; 11:1, 5, 6; B. Sa. 90a; Pe. 66b; cf. Greenspahn, “Why Prophecy”, 44.</w:t>
      </w:r>
    </w:p>
    <w:p w14:paraId="3E1FFC6A" w14:textId="77777777" w:rsidR="00E54204" w:rsidRPr="00E54204" w:rsidRDefault="00E54204" w:rsidP="00AA1903">
      <w:pPr>
        <w:pStyle w:val="FootnoteText"/>
      </w:pPr>
    </w:p>
  </w:footnote>
  <w:footnote w:id="142">
    <w:p w14:paraId="6C234A4B" w14:textId="77777777" w:rsidR="00E54204" w:rsidRPr="00E54204" w:rsidRDefault="00E54204" w:rsidP="00AA1903">
      <w:pPr>
        <w:pStyle w:val="FootnoteText"/>
      </w:pPr>
      <w:r w:rsidRPr="00E54204">
        <w:rPr>
          <w:rStyle w:val="FootnoteReference"/>
        </w:rPr>
        <w:footnoteRef/>
      </w:r>
      <w:r w:rsidRPr="00E54204">
        <w:t xml:space="preserve"> Notably Midrash </w:t>
      </w:r>
      <w:r w:rsidRPr="00E54204">
        <w:rPr>
          <w:i/>
        </w:rPr>
        <w:t>Haggadah</w:t>
      </w:r>
      <w:r w:rsidRPr="00E54204">
        <w:t xml:space="preserve">, in which the </w:t>
      </w:r>
      <w:r w:rsidRPr="00E54204">
        <w:rPr>
          <w:i/>
        </w:rPr>
        <w:t>bat kol</w:t>
      </w:r>
      <w:r w:rsidRPr="00E54204">
        <w:t xml:space="preserve"> appears some nearly 180 instances.</w:t>
      </w:r>
    </w:p>
    <w:p w14:paraId="20E60CA5" w14:textId="77777777" w:rsidR="00E54204" w:rsidRPr="00E54204" w:rsidRDefault="00E54204" w:rsidP="00AA1903">
      <w:pPr>
        <w:pStyle w:val="FootnoteText"/>
      </w:pPr>
    </w:p>
  </w:footnote>
  <w:footnote w:id="143">
    <w:p w14:paraId="347FD0E9" w14:textId="77777777" w:rsidR="00E54204" w:rsidRPr="00E54204" w:rsidRDefault="00E54204" w:rsidP="00AA1903">
      <w:pPr>
        <w:pStyle w:val="FootnoteText"/>
      </w:pPr>
      <w:r w:rsidRPr="00E54204">
        <w:rPr>
          <w:rStyle w:val="FootnoteReference"/>
        </w:rPr>
        <w:footnoteRef/>
      </w:r>
      <w:r w:rsidRPr="00E54204">
        <w:t xml:space="preserve"> I.e., the Holy Spirit.</w:t>
      </w:r>
    </w:p>
    <w:p w14:paraId="267E529D" w14:textId="77777777" w:rsidR="00E54204" w:rsidRPr="00E54204" w:rsidRDefault="00E54204" w:rsidP="00AA1903">
      <w:pPr>
        <w:pStyle w:val="FootnoteText"/>
      </w:pPr>
    </w:p>
  </w:footnote>
  <w:footnote w:id="144">
    <w:p w14:paraId="57340DF3" w14:textId="77777777" w:rsidR="00E54204" w:rsidRPr="00E54204" w:rsidRDefault="00E54204" w:rsidP="00AA1903">
      <w:pPr>
        <w:pStyle w:val="FootnoteText"/>
      </w:pPr>
      <w:r w:rsidRPr="00E54204">
        <w:rPr>
          <w:rStyle w:val="FootnoteReference"/>
        </w:rPr>
        <w:footnoteRef/>
      </w:r>
      <w:r w:rsidRPr="00E54204">
        <w:t xml:space="preserve"> Alex Jassen suggests in </w:t>
      </w:r>
      <w:r w:rsidRPr="00E54204">
        <w:rPr>
          <w:i/>
        </w:rPr>
        <w:t>Prophets and Prophecy in Qumran</w:t>
      </w:r>
      <w:r w:rsidRPr="00E54204">
        <w:t xml:space="preserve"> that, “Prophecy and prophetic phenomena persist in some segments of Second Temple Judaism, though in a modified manner.  Accordingly, terms such as ‘cessation’ or ‘disappearance’ are inappropriate.” (AJS Review 32 (2): Cambridge University Press, 2008), 303.</w:t>
      </w:r>
    </w:p>
    <w:p w14:paraId="030816F8" w14:textId="77777777" w:rsidR="00E54204" w:rsidRPr="00E54204" w:rsidRDefault="00E54204" w:rsidP="00AA1903">
      <w:pPr>
        <w:pStyle w:val="FootnoteText"/>
      </w:pPr>
    </w:p>
  </w:footnote>
  <w:footnote w:id="145">
    <w:p w14:paraId="6865ECF3" w14:textId="77777777" w:rsidR="00E54204" w:rsidRPr="00E54204" w:rsidRDefault="00E54204" w:rsidP="00AA1903">
      <w:pPr>
        <w:pStyle w:val="FootnoteText"/>
      </w:pPr>
      <w:r w:rsidRPr="00E54204">
        <w:rPr>
          <w:rStyle w:val="FootnoteReference"/>
        </w:rPr>
        <w:footnoteRef/>
      </w:r>
      <w:r w:rsidRPr="00E54204">
        <w:t xml:space="preserve"> See Stephen L. Cook, </w:t>
      </w:r>
      <w:r w:rsidR="009B0062">
        <w:rPr>
          <w:i/>
        </w:rPr>
        <w:t>On the Question of the “Cessation of Prophecy”</w:t>
      </w:r>
      <w:r w:rsidRPr="00E54204">
        <w:rPr>
          <w:i/>
        </w:rPr>
        <w:t xml:space="preserve"> in Ancient Judaism</w:t>
      </w:r>
      <w:r w:rsidRPr="00E54204">
        <w:t>, (Tübingen: Mohr Siebeck, 2011), 175.</w:t>
      </w:r>
    </w:p>
    <w:p w14:paraId="294023B6" w14:textId="77777777" w:rsidR="00E54204" w:rsidRPr="00E54204" w:rsidRDefault="00E54204" w:rsidP="00AA1903">
      <w:pPr>
        <w:pStyle w:val="FootnoteText"/>
      </w:pPr>
    </w:p>
  </w:footnote>
  <w:footnote w:id="146">
    <w:p w14:paraId="1CA6CA25" w14:textId="77777777" w:rsidR="00E54204" w:rsidRPr="00E54204" w:rsidRDefault="00E54204" w:rsidP="00AA1903">
      <w:pPr>
        <w:pStyle w:val="FootnoteText"/>
      </w:pPr>
      <w:r w:rsidRPr="00E54204">
        <w:rPr>
          <w:rStyle w:val="FootnoteReference"/>
        </w:rPr>
        <w:footnoteRef/>
      </w:r>
      <w:r w:rsidRPr="00E54204">
        <w:t xml:space="preserve"> See Tosefta </w:t>
      </w:r>
      <w:r w:rsidRPr="00E54204">
        <w:rPr>
          <w:i/>
        </w:rPr>
        <w:t>Sanhedrin</w:t>
      </w:r>
      <w:r w:rsidRPr="00E54204">
        <w:t xml:space="preserve"> 14:13; J. </w:t>
      </w:r>
      <w:r w:rsidRPr="00E54204">
        <w:rPr>
          <w:i/>
        </w:rPr>
        <w:t>Megillah</w:t>
      </w:r>
      <w:r w:rsidRPr="00E54204">
        <w:t xml:space="preserve"> 70d; B. </w:t>
      </w:r>
      <w:r w:rsidRPr="00E54204">
        <w:rPr>
          <w:i/>
        </w:rPr>
        <w:t>Yoma</w:t>
      </w:r>
      <w:r w:rsidRPr="00E54204">
        <w:t xml:space="preserve"> 80a; B. </w:t>
      </w:r>
      <w:r w:rsidRPr="00E54204">
        <w:rPr>
          <w:i/>
        </w:rPr>
        <w:t>Terumah</w:t>
      </w:r>
      <w:r w:rsidRPr="00E54204">
        <w:t xml:space="preserve"> 16a, B. Sh.</w:t>
      </w:r>
      <w:r w:rsidRPr="00E54204">
        <w:rPr>
          <w:i/>
        </w:rPr>
        <w:t xml:space="preserve"> </w:t>
      </w:r>
      <w:r w:rsidRPr="00E54204">
        <w:t xml:space="preserve">104a; B. </w:t>
      </w:r>
      <w:r w:rsidRPr="00E54204">
        <w:rPr>
          <w:i/>
        </w:rPr>
        <w:t>Megillah</w:t>
      </w:r>
      <w:r w:rsidRPr="00E54204">
        <w:t xml:space="preserve"> 14a. </w:t>
      </w:r>
    </w:p>
    <w:p w14:paraId="45A5BCCA" w14:textId="77777777" w:rsidR="00E54204" w:rsidRPr="00E54204" w:rsidRDefault="00E54204" w:rsidP="00AA1903">
      <w:pPr>
        <w:pStyle w:val="FootnoteText"/>
      </w:pPr>
    </w:p>
  </w:footnote>
  <w:footnote w:id="147">
    <w:p w14:paraId="024878F0" w14:textId="77777777" w:rsidR="00E54204" w:rsidRPr="00E54204" w:rsidRDefault="00E54204" w:rsidP="00AA1903">
      <w:pPr>
        <w:pStyle w:val="FootnoteText"/>
      </w:pPr>
      <w:r w:rsidRPr="00E54204">
        <w:rPr>
          <w:rStyle w:val="FootnoteReference"/>
        </w:rPr>
        <w:footnoteRef/>
      </w:r>
      <w:r w:rsidRPr="00E54204">
        <w:t xml:space="preserve"> See B. B.B. 12a.  Similarly in the Midrashic work, </w:t>
      </w:r>
      <w:r w:rsidRPr="00E54204">
        <w:rPr>
          <w:i/>
        </w:rPr>
        <w:t>Seder Olam Rabbah</w:t>
      </w:r>
      <w:r w:rsidRPr="00E54204">
        <w:t xml:space="preserve"> </w:t>
      </w:r>
      <w:r w:rsidRPr="00E54204">
        <w:rPr>
          <w:rFonts w:cs="Times New Roman"/>
        </w:rPr>
        <w:t>§</w:t>
      </w:r>
      <w:r w:rsidRPr="00E54204">
        <w:t xml:space="preserve"> 30, comments that prior to Alexander the Great, “the prophets prophesied with the Holy Spirit; hereafter, incline your ears and obey the sage’ words.” Quoted in Frederick Greenspahn, “Why Prophecy”, 47.</w:t>
      </w:r>
    </w:p>
    <w:p w14:paraId="315443B7" w14:textId="77777777" w:rsidR="00E54204" w:rsidRPr="00E54204" w:rsidRDefault="00E54204" w:rsidP="00AA1903">
      <w:pPr>
        <w:pStyle w:val="FootnoteText"/>
        <w:rPr>
          <w:i/>
        </w:rPr>
      </w:pPr>
    </w:p>
  </w:footnote>
  <w:footnote w:id="148">
    <w:p w14:paraId="08B683A0" w14:textId="77777777" w:rsidR="00E54204" w:rsidRPr="00E54204" w:rsidRDefault="00E54204" w:rsidP="00AA1903">
      <w:pPr>
        <w:pStyle w:val="FootnoteText"/>
      </w:pPr>
      <w:r w:rsidRPr="00E54204">
        <w:rPr>
          <w:rStyle w:val="FootnoteReference"/>
        </w:rPr>
        <w:footnoteRef/>
      </w:r>
      <w:r w:rsidRPr="00E54204">
        <w:t xml:space="preserve"> Greenspahn, “Why Prophecy”</w:t>
      </w:r>
      <w:r w:rsidRPr="00E54204">
        <w:rPr>
          <w:i/>
        </w:rPr>
        <w:t xml:space="preserve">, </w:t>
      </w:r>
      <w:r w:rsidRPr="00E54204">
        <w:t>49.</w:t>
      </w:r>
    </w:p>
    <w:p w14:paraId="5CE447D2" w14:textId="77777777" w:rsidR="00E54204" w:rsidRPr="00E54204" w:rsidRDefault="00E54204" w:rsidP="00AA1903">
      <w:pPr>
        <w:pStyle w:val="FootnoteText"/>
      </w:pPr>
    </w:p>
  </w:footnote>
  <w:footnote w:id="149">
    <w:p w14:paraId="3CA4340F" w14:textId="77777777" w:rsidR="00E54204" w:rsidRPr="00E54204" w:rsidRDefault="00E54204" w:rsidP="00AA1903">
      <w:pPr>
        <w:pStyle w:val="FootnoteText"/>
      </w:pPr>
      <w:r w:rsidRPr="00E54204">
        <w:rPr>
          <w:rStyle w:val="FootnoteReference"/>
        </w:rPr>
        <w:footnoteRef/>
      </w:r>
      <w:r w:rsidRPr="00E54204">
        <w:t xml:space="preserve"> Which according to some of the Church Fathers was a consequence for the rejection of Jesus of Nazareth as Messiah, hence Urbach suspected this led the rabbis to place the departure of the Spirit before the events of the first century CE so as to rebut those claims.  In such a case, it is not clear why the rabbis would have entertained such a claim to begin with.  </w:t>
      </w:r>
    </w:p>
    <w:p w14:paraId="026DE517" w14:textId="77777777" w:rsidR="00E54204" w:rsidRPr="00E54204" w:rsidRDefault="00E54204" w:rsidP="00AA1903">
      <w:pPr>
        <w:pStyle w:val="FootnoteText"/>
      </w:pPr>
    </w:p>
  </w:footnote>
  <w:footnote w:id="150">
    <w:p w14:paraId="4CFA5B54" w14:textId="77777777" w:rsidR="00E54204" w:rsidRPr="00E54204" w:rsidRDefault="00E54204" w:rsidP="00AA1903">
      <w:pPr>
        <w:pStyle w:val="FootnoteText"/>
      </w:pPr>
      <w:r w:rsidRPr="00E54204">
        <w:rPr>
          <w:rStyle w:val="FootnoteReference"/>
        </w:rPr>
        <w:footnoteRef/>
      </w:r>
      <w:r w:rsidRPr="00E54204">
        <w:t xml:space="preserve"> Greenspahn, “Why Prophecy”, 47.</w:t>
      </w:r>
    </w:p>
    <w:p w14:paraId="3B8E734B" w14:textId="77777777" w:rsidR="00E54204" w:rsidRPr="00E54204" w:rsidRDefault="00E54204" w:rsidP="00AA1903">
      <w:pPr>
        <w:pStyle w:val="FootnoteText"/>
      </w:pPr>
    </w:p>
  </w:footnote>
  <w:footnote w:id="151">
    <w:p w14:paraId="62E9E38E" w14:textId="77777777" w:rsidR="00E54204" w:rsidRPr="00E54204" w:rsidRDefault="00E54204" w:rsidP="00AA1903">
      <w:pPr>
        <w:pStyle w:val="FootnoteText"/>
      </w:pPr>
      <w:r w:rsidRPr="00E54204">
        <w:rPr>
          <w:rStyle w:val="FootnoteReference"/>
        </w:rPr>
        <w:footnoteRef/>
      </w:r>
      <w:r w:rsidRPr="00E54204">
        <w:t xml:space="preserve"> </w:t>
      </w:r>
      <w:r w:rsidRPr="00E54204">
        <w:rPr>
          <w:i/>
        </w:rPr>
        <w:t>Seder Olam Rabbah</w:t>
      </w:r>
      <w:r w:rsidRPr="00E54204">
        <w:t xml:space="preserve"> 30 states that prior to the advent of Alexander, the prophets prophesied with the Holy Spirit, afterward, the people should incline their ears to obey the words of the sages.</w:t>
      </w:r>
    </w:p>
    <w:p w14:paraId="41CB9A39" w14:textId="77777777" w:rsidR="00E54204" w:rsidRPr="00E54204" w:rsidRDefault="00E54204" w:rsidP="00AA1903">
      <w:pPr>
        <w:pStyle w:val="FootnoteText"/>
      </w:pPr>
    </w:p>
  </w:footnote>
  <w:footnote w:id="152">
    <w:p w14:paraId="3AE85C2B" w14:textId="77777777" w:rsidR="00E54204" w:rsidRPr="00E54204" w:rsidRDefault="00E54204" w:rsidP="00AA1903">
      <w:pPr>
        <w:pStyle w:val="FootnoteText"/>
      </w:pPr>
      <w:r w:rsidRPr="00E54204">
        <w:rPr>
          <w:rStyle w:val="FootnoteReference"/>
        </w:rPr>
        <w:footnoteRef/>
      </w:r>
      <w:r w:rsidRPr="00E54204">
        <w:t xml:space="preserve"> One, if not the most, famous example is the incident of the “oven of Aknai,” where the sages reject the </w:t>
      </w:r>
      <w:r w:rsidRPr="00E54204">
        <w:rPr>
          <w:i/>
        </w:rPr>
        <w:t>bat kol</w:t>
      </w:r>
      <w:r w:rsidRPr="00E54204">
        <w:t>’s</w:t>
      </w:r>
      <w:r w:rsidRPr="00E54204">
        <w:rPr>
          <w:i/>
        </w:rPr>
        <w:t xml:space="preserve"> </w:t>
      </w:r>
      <w:r w:rsidRPr="00E54204">
        <w:t xml:space="preserve">intervention on R. Eliezer’s behalf in a </w:t>
      </w:r>
      <w:r w:rsidRPr="00E54204">
        <w:rPr>
          <w:i/>
        </w:rPr>
        <w:t xml:space="preserve">Halachic </w:t>
      </w:r>
      <w:r w:rsidRPr="00E54204">
        <w:t xml:space="preserve">debate. cf. B. </w:t>
      </w:r>
      <w:r w:rsidRPr="00E54204">
        <w:rPr>
          <w:i/>
        </w:rPr>
        <w:t>Bava Metzia</w:t>
      </w:r>
      <w:r w:rsidRPr="00E54204">
        <w:t xml:space="preserve"> 59b; J. M.K. 3:1, 81c-d.  The notable exception to this rule is when the </w:t>
      </w:r>
      <w:r w:rsidRPr="00E54204">
        <w:rPr>
          <w:i/>
        </w:rPr>
        <w:t>bat kol</w:t>
      </w:r>
      <w:r w:rsidRPr="00E54204">
        <w:t xml:space="preserve"> chimed in to show approval of the house (school) of Hillel over the house (school) of Shammai in what was supposedly a prolonged legal debate; cf. B. </w:t>
      </w:r>
      <w:r w:rsidRPr="00E54204">
        <w:rPr>
          <w:i/>
        </w:rPr>
        <w:t>Eruvin</w:t>
      </w:r>
      <w:r w:rsidRPr="00E54204">
        <w:t xml:space="preserve"> 13b.  Several passages reference the school of Hillel allowing the testimony of the </w:t>
      </w:r>
      <w:r w:rsidRPr="00E54204">
        <w:rPr>
          <w:i/>
        </w:rPr>
        <w:t xml:space="preserve">bat kol </w:t>
      </w:r>
      <w:r w:rsidRPr="00E54204">
        <w:t xml:space="preserve">while the school of Shammai prohibited such, cf. T. </w:t>
      </w:r>
      <w:r w:rsidRPr="00E54204">
        <w:rPr>
          <w:i/>
        </w:rPr>
        <w:t>Naziruth</w:t>
      </w:r>
      <w:r w:rsidRPr="00E54204">
        <w:t xml:space="preserve"> 1; B. Yev. 122a; J. </w:t>
      </w:r>
      <w:r w:rsidRPr="00E54204">
        <w:rPr>
          <w:i/>
        </w:rPr>
        <w:t>Nazir</w:t>
      </w:r>
      <w:r w:rsidRPr="00E54204">
        <w:t xml:space="preserve"> 51b.</w:t>
      </w:r>
    </w:p>
    <w:p w14:paraId="7F24A0D4" w14:textId="77777777" w:rsidR="00E54204" w:rsidRPr="00E54204" w:rsidRDefault="00E54204" w:rsidP="00AA1903">
      <w:pPr>
        <w:pStyle w:val="FootnoteText"/>
      </w:pPr>
    </w:p>
  </w:footnote>
  <w:footnote w:id="153">
    <w:p w14:paraId="3B3AE299" w14:textId="77777777" w:rsidR="00E54204" w:rsidRPr="00E54204" w:rsidRDefault="00E54204" w:rsidP="00EA3EAF">
      <w:pPr>
        <w:pStyle w:val="FootnoteText"/>
      </w:pPr>
      <w:r w:rsidRPr="00E54204">
        <w:rPr>
          <w:rStyle w:val="FootnoteReference"/>
        </w:rPr>
        <w:footnoteRef/>
      </w:r>
      <w:r w:rsidRPr="00E54204">
        <w:t xml:space="preserve"> Primarily a priestly and aristocratic group.</w:t>
      </w:r>
    </w:p>
    <w:p w14:paraId="5D13CB8A" w14:textId="77777777" w:rsidR="00E54204" w:rsidRPr="00E54204" w:rsidRDefault="00E54204" w:rsidP="00EA3EAF">
      <w:pPr>
        <w:pStyle w:val="FootnoteText"/>
      </w:pPr>
    </w:p>
  </w:footnote>
  <w:footnote w:id="154">
    <w:p w14:paraId="5B7463AB" w14:textId="77777777" w:rsidR="00E54204" w:rsidRPr="00E54204" w:rsidRDefault="00E54204" w:rsidP="00EA3EAF">
      <w:pPr>
        <w:pStyle w:val="FootnoteText"/>
      </w:pPr>
      <w:r w:rsidRPr="00E54204">
        <w:rPr>
          <w:rStyle w:val="FootnoteReference"/>
        </w:rPr>
        <w:footnoteRef/>
      </w:r>
      <w:r w:rsidRPr="00E54204">
        <w:t xml:space="preserve"> E.g. angels, resurrection.</w:t>
      </w:r>
    </w:p>
    <w:p w14:paraId="1B207E9A" w14:textId="77777777" w:rsidR="00E54204" w:rsidRPr="00E54204" w:rsidRDefault="00E54204" w:rsidP="00EA3EAF">
      <w:pPr>
        <w:pStyle w:val="FootnoteText"/>
      </w:pPr>
    </w:p>
  </w:footnote>
  <w:footnote w:id="155">
    <w:p w14:paraId="48A58780" w14:textId="77777777" w:rsidR="00E54204" w:rsidRPr="00E54204" w:rsidRDefault="00E54204" w:rsidP="00AA1903">
      <w:pPr>
        <w:pStyle w:val="FootnoteText"/>
      </w:pPr>
      <w:r w:rsidRPr="00E54204">
        <w:rPr>
          <w:rStyle w:val="FootnoteReference"/>
        </w:rPr>
        <w:footnoteRef/>
      </w:r>
      <w:r w:rsidRPr="00E54204">
        <w:t xml:space="preserve"> It contains nearly 2,500,000 words.  The Yerushalmi (Jerusalem), 800,000.  Cf. Raphael Patai,</w:t>
      </w:r>
      <w:r w:rsidRPr="00E54204">
        <w:rPr>
          <w:i/>
        </w:rPr>
        <w:t xml:space="preserve"> Gates to the Old City</w:t>
      </w:r>
      <w:r w:rsidRPr="00E54204">
        <w:t>, (Detroit: Wayne State University Press, 1981), 159.</w:t>
      </w:r>
    </w:p>
    <w:p w14:paraId="114C2420" w14:textId="77777777" w:rsidR="00E54204" w:rsidRPr="00E54204" w:rsidRDefault="00E54204" w:rsidP="00AA1903">
      <w:pPr>
        <w:pStyle w:val="FootnoteText"/>
      </w:pPr>
    </w:p>
  </w:footnote>
  <w:footnote w:id="156">
    <w:p w14:paraId="3112A54F" w14:textId="77777777" w:rsidR="00E54204" w:rsidRPr="00E54204" w:rsidRDefault="00E54204" w:rsidP="001C22B7">
      <w:pPr>
        <w:pStyle w:val="FootnoteText"/>
      </w:pPr>
    </w:p>
  </w:footnote>
  <w:footnote w:id="157">
    <w:p w14:paraId="335C9EB1" w14:textId="77777777" w:rsidR="00E54204" w:rsidRPr="00E54204" w:rsidRDefault="00E54204" w:rsidP="00AA1903">
      <w:pPr>
        <w:pStyle w:val="FootnoteText"/>
      </w:pPr>
      <w:r w:rsidRPr="00E54204">
        <w:rPr>
          <w:rStyle w:val="FootnoteReference"/>
        </w:rPr>
        <w:footnoteRef/>
      </w:r>
      <w:r w:rsidRPr="00E54204">
        <w:t xml:space="preserve"> </w:t>
      </w:r>
      <w:r w:rsidRPr="00E54204">
        <w:rPr>
          <w:i/>
        </w:rPr>
        <w:t xml:space="preserve">Haggadah </w:t>
      </w:r>
      <w:r w:rsidRPr="00E54204">
        <w:t xml:space="preserve">is used for the disclosing the purposes for the Biblical commandments but not for </w:t>
      </w:r>
      <w:r w:rsidRPr="00E54204">
        <w:rPr>
          <w:i/>
        </w:rPr>
        <w:t xml:space="preserve">Halachic </w:t>
      </w:r>
      <w:r w:rsidRPr="00E54204">
        <w:t xml:space="preserve">rulings; cf. Lawrence Schiffman, </w:t>
      </w:r>
      <w:r w:rsidRPr="00E54204">
        <w:rPr>
          <w:i/>
        </w:rPr>
        <w:t>From Text to Tradition: A History of Second Temple &amp; Rabbinic Judaism</w:t>
      </w:r>
      <w:r w:rsidRPr="00E54204">
        <w:t>, (Hoboken: Ktav Publishing House, 1991), 271.</w:t>
      </w:r>
    </w:p>
    <w:p w14:paraId="0340C1B9" w14:textId="77777777" w:rsidR="00E54204" w:rsidRPr="00E54204" w:rsidRDefault="00E54204" w:rsidP="00AA1903">
      <w:pPr>
        <w:pStyle w:val="FootnoteText"/>
      </w:pPr>
    </w:p>
  </w:footnote>
  <w:footnote w:id="158">
    <w:p w14:paraId="66548C61" w14:textId="77777777" w:rsidR="00E54204" w:rsidRPr="00E54204" w:rsidRDefault="00E54204" w:rsidP="00AA1903">
      <w:pPr>
        <w:pStyle w:val="FootnoteText"/>
      </w:pPr>
      <w:r w:rsidRPr="00E54204">
        <w:rPr>
          <w:rStyle w:val="FootnoteReference"/>
        </w:rPr>
        <w:footnoteRef/>
      </w:r>
      <w:r w:rsidRPr="00E54204">
        <w:t xml:space="preserve"> According to Raphael Patai, these meanings include: myth, legend, parables, folktales, allegories, idyllic tales, animal fables, all in narrative style.  Yet in can also take the form of dialogue, mystical allusion, and moralistic advice.  Brief examples may include: terse maxims, play on words, permutations, and ingenious play on Hebrew letters and their numerical values, cf. Raphael Patai, </w:t>
      </w:r>
      <w:r w:rsidRPr="00E54204">
        <w:rPr>
          <w:i/>
        </w:rPr>
        <w:t>Gates to the Old City</w:t>
      </w:r>
      <w:r w:rsidRPr="00E54204">
        <w:t xml:space="preserve">, (Detroit: Wayne State University Press, 1981), xxii-xxiii.  </w:t>
      </w:r>
    </w:p>
    <w:p w14:paraId="549A4B97" w14:textId="77777777" w:rsidR="00E54204" w:rsidRPr="00E54204" w:rsidRDefault="00E54204" w:rsidP="00AA1903">
      <w:pPr>
        <w:pStyle w:val="FootnoteText"/>
      </w:pPr>
    </w:p>
  </w:footnote>
  <w:footnote w:id="159">
    <w:p w14:paraId="3E52D558" w14:textId="77777777" w:rsidR="00E54204" w:rsidRPr="00E54204" w:rsidRDefault="00E54204" w:rsidP="00AA1903">
      <w:pPr>
        <w:pStyle w:val="FootnoteText"/>
      </w:pPr>
      <w:r w:rsidRPr="00E54204">
        <w:rPr>
          <w:rStyle w:val="FootnoteReference"/>
        </w:rPr>
        <w:footnoteRef/>
      </w:r>
      <w:r w:rsidRPr="00E54204">
        <w:t xml:space="preserve"> See Jeffrey Rubenstein, </w:t>
      </w:r>
      <w:r w:rsidRPr="00E54204">
        <w:rPr>
          <w:i/>
        </w:rPr>
        <w:t>Talmudic Stories</w:t>
      </w:r>
      <w:r w:rsidRPr="00E54204">
        <w:t xml:space="preserve">: </w:t>
      </w:r>
      <w:r w:rsidRPr="00E54204">
        <w:rPr>
          <w:i/>
        </w:rPr>
        <w:t>Narrative Art, Composition, and Culture</w:t>
      </w:r>
      <w:r w:rsidRPr="00E54204">
        <w:t xml:space="preserve"> (Baltimore: Johns Hopkins University Press, 1999), 8.</w:t>
      </w:r>
    </w:p>
    <w:p w14:paraId="0ACF639E" w14:textId="77777777" w:rsidR="00E54204" w:rsidRPr="00E54204" w:rsidRDefault="00E54204" w:rsidP="00AA1903">
      <w:pPr>
        <w:pStyle w:val="FootnoteText"/>
      </w:pPr>
    </w:p>
  </w:footnote>
  <w:footnote w:id="160">
    <w:p w14:paraId="512D6549" w14:textId="77777777" w:rsidR="00E54204" w:rsidRPr="00E54204" w:rsidRDefault="00E54204" w:rsidP="00AA1903">
      <w:pPr>
        <w:pStyle w:val="FootnoteText"/>
      </w:pPr>
      <w:r w:rsidRPr="00E54204">
        <w:rPr>
          <w:rStyle w:val="FootnoteReference"/>
        </w:rPr>
        <w:footnoteRef/>
      </w:r>
      <w:r w:rsidRPr="00E54204">
        <w:t xml:space="preserve"> I have found nearly 400 cases of the </w:t>
      </w:r>
      <w:r w:rsidRPr="00E54204">
        <w:rPr>
          <w:i/>
        </w:rPr>
        <w:t>bat kol</w:t>
      </w:r>
      <w:r w:rsidRPr="00E54204">
        <w:t xml:space="preserve"> in Mishnah, Tosefta, Talmud, Targum, and Midrash.  The purview of this study will be focused on the cases from the Babylonian Talmud, which contains approximately 70 episodes.</w:t>
      </w:r>
    </w:p>
    <w:p w14:paraId="559386E6" w14:textId="77777777" w:rsidR="00E54204" w:rsidRPr="00E54204" w:rsidRDefault="00E54204" w:rsidP="00AA1903">
      <w:pPr>
        <w:pStyle w:val="FootnoteText"/>
      </w:pPr>
    </w:p>
  </w:footnote>
  <w:footnote w:id="161">
    <w:p w14:paraId="17AAF62E" w14:textId="77777777" w:rsidR="00E54204" w:rsidRPr="00E54204" w:rsidRDefault="00E54204" w:rsidP="00AA1903">
      <w:pPr>
        <w:pStyle w:val="FootnoteText"/>
      </w:pPr>
      <w:r w:rsidRPr="00E54204">
        <w:rPr>
          <w:rStyle w:val="FootnoteReference"/>
        </w:rPr>
        <w:footnoteRef/>
      </w:r>
      <w:r w:rsidRPr="00E54204">
        <w:t xml:space="preserve"> Plural of </w:t>
      </w:r>
      <w:r w:rsidRPr="00E54204">
        <w:rPr>
          <w:i/>
        </w:rPr>
        <w:t>Haggadah</w:t>
      </w:r>
      <w:r w:rsidRPr="00E54204">
        <w:t xml:space="preserve">.  These later stories include: </w:t>
      </w:r>
      <w:r w:rsidRPr="00E54204">
        <w:rPr>
          <w:i/>
        </w:rPr>
        <w:t>Exodus Rabbah</w:t>
      </w:r>
      <w:r w:rsidRPr="00E54204">
        <w:t xml:space="preserve">, </w:t>
      </w:r>
      <w:r w:rsidRPr="00E54204">
        <w:rPr>
          <w:i/>
        </w:rPr>
        <w:t>Leviticus Rabbah</w:t>
      </w:r>
      <w:r w:rsidRPr="00E54204">
        <w:t xml:space="preserve">, etc…cf. Schiffman, </w:t>
      </w:r>
      <w:r w:rsidRPr="00E54204">
        <w:rPr>
          <w:i/>
        </w:rPr>
        <w:t>From Text</w:t>
      </w:r>
      <w:r w:rsidRPr="00E54204">
        <w:t>, 236.</w:t>
      </w:r>
    </w:p>
    <w:p w14:paraId="14B30746" w14:textId="77777777" w:rsidR="00E54204" w:rsidRPr="00E54204" w:rsidRDefault="00E54204" w:rsidP="00AA1903">
      <w:pPr>
        <w:pStyle w:val="FootnoteText"/>
      </w:pPr>
    </w:p>
  </w:footnote>
  <w:footnote w:id="162">
    <w:p w14:paraId="332AC3A0" w14:textId="77777777" w:rsidR="00E54204" w:rsidRPr="00E54204" w:rsidRDefault="00E54204" w:rsidP="00AA1903">
      <w:pPr>
        <w:pStyle w:val="FootnoteText"/>
      </w:pPr>
      <w:r w:rsidRPr="00E54204">
        <w:rPr>
          <w:rStyle w:val="FootnoteReference"/>
        </w:rPr>
        <w:footnoteRef/>
      </w:r>
      <w:r w:rsidRPr="00E54204">
        <w:t xml:space="preserve"> The </w:t>
      </w:r>
      <w:r w:rsidRPr="00E54204">
        <w:rPr>
          <w:i/>
        </w:rPr>
        <w:t xml:space="preserve">Amoraim </w:t>
      </w:r>
      <w:r w:rsidRPr="00E54204">
        <w:t>are known as the teachers of the Talmud or Gemara (ca.220-525 CE).</w:t>
      </w:r>
    </w:p>
    <w:p w14:paraId="0A9F97A3" w14:textId="77777777" w:rsidR="00E54204" w:rsidRPr="00E54204" w:rsidRDefault="00E54204" w:rsidP="00AA1903">
      <w:pPr>
        <w:pStyle w:val="FootnoteText"/>
      </w:pPr>
    </w:p>
  </w:footnote>
  <w:footnote w:id="163">
    <w:p w14:paraId="2788F8C5" w14:textId="77777777" w:rsidR="00E54204" w:rsidRPr="00E54204" w:rsidRDefault="00E54204" w:rsidP="00AA1903">
      <w:pPr>
        <w:pStyle w:val="FootnoteText"/>
      </w:pPr>
      <w:r w:rsidRPr="00E54204">
        <w:rPr>
          <w:rStyle w:val="FootnoteReference"/>
        </w:rPr>
        <w:footnoteRef/>
      </w:r>
      <w:r w:rsidRPr="00E54204">
        <w:t xml:space="preserve"> James Kugel wrote about the connection between Midrash and apocalyptic sources in </w:t>
      </w:r>
      <w:r w:rsidRPr="00E54204">
        <w:rPr>
          <w:i/>
        </w:rPr>
        <w:t>Two Introductions to Midrash</w:t>
      </w:r>
      <w:r w:rsidRPr="00E54204">
        <w:t xml:space="preserve">, quoted by Daniel Boyarin in </w:t>
      </w:r>
      <w:r w:rsidRPr="00E54204">
        <w:rPr>
          <w:i/>
        </w:rPr>
        <w:t>Intertextuality and the Reading of Midrash</w:t>
      </w:r>
      <w:r w:rsidRPr="00E54204">
        <w:t>, (Bloomington: IN, 1990), 13.</w:t>
      </w:r>
    </w:p>
    <w:p w14:paraId="4CBC6C04" w14:textId="77777777" w:rsidR="00E54204" w:rsidRPr="00E54204" w:rsidRDefault="00E54204" w:rsidP="00AA1903">
      <w:pPr>
        <w:pStyle w:val="FootnoteText"/>
      </w:pPr>
    </w:p>
  </w:footnote>
  <w:footnote w:id="164">
    <w:p w14:paraId="7388B61C" w14:textId="77777777" w:rsidR="00E54204" w:rsidRPr="00E54204" w:rsidRDefault="00E54204" w:rsidP="00AA1903">
      <w:pPr>
        <w:pStyle w:val="FootnoteText"/>
      </w:pPr>
      <w:r w:rsidRPr="00E54204">
        <w:rPr>
          <w:rStyle w:val="FootnoteReference"/>
        </w:rPr>
        <w:footnoteRef/>
      </w:r>
      <w:r w:rsidRPr="00E54204">
        <w:t xml:space="preserve"> John Collins notes that in the B. </w:t>
      </w:r>
      <w:r w:rsidRPr="00E54204">
        <w:rPr>
          <w:i/>
        </w:rPr>
        <w:t>Sanhedrin</w:t>
      </w:r>
      <w:r w:rsidRPr="00E54204">
        <w:t xml:space="preserve"> 94a, the companions of Daniel (10:7), are identified as Haggai, Zechariah, and Malachi.  These are purported to be greater than Daniel in that they were deemed prophets.  Yet Daniel is elevated because he alone saw the vision.  John Collins, </w:t>
      </w:r>
      <w:r w:rsidRPr="00E54204">
        <w:rPr>
          <w:i/>
        </w:rPr>
        <w:t>Daniel: A Commentary on the Book of Daniel</w:t>
      </w:r>
      <w:r w:rsidRPr="00E54204">
        <w:t xml:space="preserve"> (Minneapolis: Fortress Press, 1993), 52.   </w:t>
      </w:r>
    </w:p>
    <w:p w14:paraId="5EBF3626" w14:textId="77777777" w:rsidR="00E54204" w:rsidRPr="00E54204" w:rsidRDefault="00E54204" w:rsidP="00AA1903">
      <w:pPr>
        <w:pStyle w:val="FootnoteText"/>
      </w:pPr>
    </w:p>
  </w:footnote>
  <w:footnote w:id="165">
    <w:p w14:paraId="688D31E2" w14:textId="77777777" w:rsidR="00E54204" w:rsidRPr="00E54204" w:rsidRDefault="00E54204" w:rsidP="00AA1903">
      <w:pPr>
        <w:pStyle w:val="FootnoteText"/>
      </w:pPr>
      <w:r w:rsidRPr="00E54204">
        <w:rPr>
          <w:rStyle w:val="FootnoteReference"/>
        </w:rPr>
        <w:footnoteRef/>
      </w:r>
      <w:r w:rsidRPr="00E54204">
        <w:t xml:space="preserve"> See Josephus’ comments in </w:t>
      </w:r>
      <w:r w:rsidRPr="00E54204">
        <w:rPr>
          <w:i/>
        </w:rPr>
        <w:t xml:space="preserve">Ant </w:t>
      </w:r>
      <w:r w:rsidRPr="00E54204">
        <w:t>10.11.7, 266-268, where he upholds him as one of the “greatest prophets.”</w:t>
      </w:r>
    </w:p>
    <w:p w14:paraId="0BBFA264" w14:textId="77777777" w:rsidR="00E54204" w:rsidRPr="00E54204" w:rsidRDefault="00E54204" w:rsidP="00AA1903">
      <w:pPr>
        <w:pStyle w:val="FootnoteText"/>
      </w:pPr>
    </w:p>
  </w:footnote>
  <w:footnote w:id="166">
    <w:p w14:paraId="51C59066" w14:textId="77777777" w:rsidR="00E54204" w:rsidRPr="00E54204" w:rsidRDefault="00E54204" w:rsidP="00AA1903">
      <w:pPr>
        <w:pStyle w:val="FootnoteText"/>
      </w:pPr>
      <w:r w:rsidRPr="00E54204">
        <w:rPr>
          <w:rStyle w:val="FootnoteReference"/>
        </w:rPr>
        <w:footnoteRef/>
      </w:r>
      <w:r w:rsidRPr="00E54204">
        <w:t xml:space="preserve"> See Alex Jassen, </w:t>
      </w:r>
      <w:r w:rsidRPr="00E54204">
        <w:rPr>
          <w:i/>
        </w:rPr>
        <w:t>Prophets and Prophecy in Qumran Community</w:t>
      </w:r>
      <w:r w:rsidRPr="00E54204">
        <w:t>, (AJS Review 32 (2): Cambridge University Press, 2008), 299-334.</w:t>
      </w:r>
    </w:p>
    <w:p w14:paraId="23416A21" w14:textId="77777777" w:rsidR="00E54204" w:rsidRPr="00E54204" w:rsidRDefault="00E54204" w:rsidP="00AA1903">
      <w:pPr>
        <w:pStyle w:val="FootnoteText"/>
      </w:pPr>
    </w:p>
  </w:footnote>
  <w:footnote w:id="167">
    <w:p w14:paraId="1F913BFF" w14:textId="77777777" w:rsidR="00E54204" w:rsidRPr="00E54204" w:rsidRDefault="00E54204" w:rsidP="00AA1903">
      <w:pPr>
        <w:pStyle w:val="FootnoteText"/>
      </w:pPr>
      <w:r w:rsidRPr="00E54204">
        <w:rPr>
          <w:rStyle w:val="FootnoteReference"/>
        </w:rPr>
        <w:footnoteRef/>
      </w:r>
      <w:r w:rsidRPr="00E54204">
        <w:t xml:space="preserve"> John Collins notes that the most prominent precedent for this practice is the Biblical figure of Joseph.  He also notes that mantic wisdom was considered primarily gentile, and is polemicized by passages in Isaiah (44:25-26, 47:13).  However, Collins affirms that Daniel espouses in the book that there is a superior wisdom and power in the God of the Jews.  See John Collins, </w:t>
      </w:r>
      <w:r w:rsidRPr="00E54204">
        <w:rPr>
          <w:i/>
        </w:rPr>
        <w:t>Daniel: A Commentary on the Book of Daniel</w:t>
      </w:r>
      <w:r w:rsidRPr="00E54204">
        <w:t xml:space="preserve"> (Minneapolis: Fortress Press, 1993), 49-50.</w:t>
      </w:r>
    </w:p>
    <w:p w14:paraId="21B76E78" w14:textId="77777777" w:rsidR="00E54204" w:rsidRPr="00E54204" w:rsidRDefault="00E54204" w:rsidP="00AA1903">
      <w:pPr>
        <w:pStyle w:val="FootnoteText"/>
      </w:pPr>
    </w:p>
  </w:footnote>
  <w:footnote w:id="168">
    <w:p w14:paraId="1515BA5A" w14:textId="77777777" w:rsidR="00E54204" w:rsidRPr="00E54204" w:rsidRDefault="00E54204">
      <w:pPr>
        <w:pStyle w:val="FootnoteText"/>
      </w:pPr>
      <w:r w:rsidRPr="00E54204">
        <w:rPr>
          <w:rStyle w:val="FootnoteReference"/>
        </w:rPr>
        <w:footnoteRef/>
      </w:r>
      <w:r w:rsidRPr="00E54204">
        <w:t xml:space="preserve"> Jassen, </w:t>
      </w:r>
      <w:r w:rsidRPr="00E54204">
        <w:rPr>
          <w:i/>
        </w:rPr>
        <w:t>Prophets</w:t>
      </w:r>
      <w:r w:rsidRPr="00E54204">
        <w:t>, 323.</w:t>
      </w:r>
    </w:p>
    <w:p w14:paraId="7D9AD07B" w14:textId="77777777" w:rsidR="00E54204" w:rsidRPr="00E54204" w:rsidRDefault="00E54204">
      <w:pPr>
        <w:pStyle w:val="FootnoteText"/>
      </w:pPr>
    </w:p>
  </w:footnote>
  <w:footnote w:id="169">
    <w:p w14:paraId="373CEAF5" w14:textId="77777777" w:rsidR="00E54204" w:rsidRPr="00E54204" w:rsidRDefault="00E54204" w:rsidP="00AA1903">
      <w:pPr>
        <w:pStyle w:val="FootnoteText"/>
        <w:rPr>
          <w:rFonts w:cs="Times New Roman"/>
          <w:b/>
          <w:bCs/>
          <w:lang w:bidi="he-IL"/>
        </w:rPr>
      </w:pPr>
      <w:r w:rsidRPr="00E54204">
        <w:rPr>
          <w:rStyle w:val="FootnoteReference"/>
        </w:rPr>
        <w:footnoteRef/>
      </w:r>
      <w:r w:rsidRPr="00E54204">
        <w:t xml:space="preserve"> See Tosefta </w:t>
      </w:r>
      <w:r w:rsidRPr="00E54204">
        <w:rPr>
          <w:i/>
        </w:rPr>
        <w:t>Sotah</w:t>
      </w:r>
      <w:r w:rsidRPr="00E54204">
        <w:t xml:space="preserve"> 13:2 and parallel versions like J. </w:t>
      </w:r>
      <w:r w:rsidRPr="00E54204">
        <w:rPr>
          <w:i/>
        </w:rPr>
        <w:t xml:space="preserve">Sotah </w:t>
      </w:r>
      <w:r w:rsidRPr="00E54204">
        <w:t xml:space="preserve">45b;  B. </w:t>
      </w:r>
      <w:r w:rsidRPr="00E54204">
        <w:rPr>
          <w:i/>
        </w:rPr>
        <w:t>Yoma</w:t>
      </w:r>
      <w:r w:rsidRPr="00E54204">
        <w:t xml:space="preserve"> 9b; </w:t>
      </w:r>
      <w:r w:rsidRPr="00E54204">
        <w:rPr>
          <w:i/>
        </w:rPr>
        <w:t xml:space="preserve">Sotah </w:t>
      </w:r>
      <w:r w:rsidRPr="00E54204">
        <w:t xml:space="preserve">48b; </w:t>
      </w:r>
      <w:r w:rsidRPr="00E54204">
        <w:rPr>
          <w:i/>
        </w:rPr>
        <w:t xml:space="preserve">Sanhedrin </w:t>
      </w:r>
      <w:r w:rsidRPr="00E54204">
        <w:t xml:space="preserve">11a, which state that they “made use of” </w:t>
      </w:r>
      <w:r w:rsidRPr="00E54204">
        <w:rPr>
          <w:rFonts w:cs="Times New Roman" w:hint="cs"/>
          <w:bCs/>
          <w:rtl/>
          <w:lang w:bidi="he-IL"/>
        </w:rPr>
        <w:t>משתמשין</w:t>
      </w:r>
      <w:r w:rsidRPr="00E54204">
        <w:t xml:space="preserve"> rather than they were “spoken to”</w:t>
      </w:r>
      <w:r w:rsidRPr="00E54204">
        <w:rPr>
          <w:rFonts w:cs="Times New Roman" w:hint="cs"/>
          <w:bCs/>
          <w:rtl/>
          <w:lang w:bidi="he-IL"/>
        </w:rPr>
        <w:t xml:space="preserve">משמיעין  </w:t>
      </w:r>
      <w:r w:rsidRPr="00E54204">
        <w:rPr>
          <w:rFonts w:cs="Times New Roman"/>
          <w:bCs/>
          <w:lang w:bidi="he-IL"/>
        </w:rPr>
        <w:t xml:space="preserve"> by the </w:t>
      </w:r>
      <w:r w:rsidRPr="00E54204">
        <w:rPr>
          <w:rFonts w:cs="Times New Roman"/>
          <w:bCs/>
          <w:i/>
          <w:lang w:bidi="he-IL"/>
        </w:rPr>
        <w:t>bat kol.</w:t>
      </w:r>
      <w:r w:rsidRPr="00E54204">
        <w:rPr>
          <w:rFonts w:cs="Times New Roman"/>
          <w:bCs/>
          <w:lang w:bidi="he-IL"/>
        </w:rPr>
        <w:t xml:space="preserve">  Alexander Guttmann, </w:t>
      </w:r>
      <w:r w:rsidRPr="00E54204">
        <w:rPr>
          <w:rFonts w:cs="Times New Roman"/>
          <w:bCs/>
          <w:i/>
          <w:lang w:bidi="he-IL"/>
        </w:rPr>
        <w:t>The Significance of Miracles in Talmudic Judaism</w:t>
      </w:r>
      <w:r w:rsidRPr="00E54204">
        <w:rPr>
          <w:rFonts w:cs="Times New Roman"/>
          <w:bCs/>
          <w:lang w:bidi="he-IL"/>
        </w:rPr>
        <w:t>, (Cincinnati: Hebrew Union College Annual, 1947), 367, n.7.</w:t>
      </w:r>
    </w:p>
    <w:p w14:paraId="370E7E9D" w14:textId="77777777" w:rsidR="00E54204" w:rsidRPr="00E54204" w:rsidRDefault="00E54204" w:rsidP="00AA1903">
      <w:pPr>
        <w:pStyle w:val="FootnoteText"/>
        <w:rPr>
          <w:rFonts w:cs="Times New Roman"/>
          <w:bCs/>
          <w:lang w:bidi="he-IL"/>
        </w:rPr>
      </w:pPr>
    </w:p>
  </w:footnote>
  <w:footnote w:id="170">
    <w:p w14:paraId="421C1D0F" w14:textId="77777777" w:rsidR="00E54204" w:rsidRPr="00E54204" w:rsidRDefault="00E54204" w:rsidP="00AA1903">
      <w:pPr>
        <w:pStyle w:val="FootnoteText"/>
      </w:pPr>
      <w:r w:rsidRPr="00E54204">
        <w:rPr>
          <w:rStyle w:val="FootnoteReference"/>
        </w:rPr>
        <w:footnoteRef/>
      </w:r>
      <w:r w:rsidRPr="00E54204">
        <w:t xml:space="preserve"> Alex Jassen noted that Josephus attests to several “prophets” (Gk. </w:t>
      </w:r>
      <w:r w:rsidRPr="00E54204">
        <w:rPr>
          <w:rFonts w:cs="Times New Roman"/>
        </w:rPr>
        <w:t xml:space="preserve">μάντις: </w:t>
      </w:r>
      <w:r w:rsidRPr="00E54204">
        <w:rPr>
          <w:rFonts w:cs="Times New Roman"/>
          <w:i/>
        </w:rPr>
        <w:t>mantic</w:t>
      </w:r>
      <w:r w:rsidRPr="00E54204">
        <w:rPr>
          <w:rFonts w:cs="Times New Roman"/>
        </w:rPr>
        <w:t xml:space="preserve">) in his day though in contradistinction to his term for the Biblical prophets (Gk. προφήτης: </w:t>
      </w:r>
      <w:r w:rsidRPr="00E54204">
        <w:rPr>
          <w:rFonts w:cs="Times New Roman"/>
          <w:i/>
        </w:rPr>
        <w:t>prophet</w:t>
      </w:r>
      <w:r w:rsidRPr="00E54204">
        <w:rPr>
          <w:rFonts w:cs="Times New Roman"/>
        </w:rPr>
        <w:t xml:space="preserve">); see </w:t>
      </w:r>
      <w:r w:rsidRPr="00E54204">
        <w:rPr>
          <w:i/>
        </w:rPr>
        <w:t>Prophets and Prophecy in Qumran Community</w:t>
      </w:r>
      <w:r w:rsidRPr="00E54204">
        <w:t xml:space="preserve">, (AJS Review 32 (2): Cambridge University Press, 2008), 304.  Collins noted references in Josephus to prophets; see </w:t>
      </w:r>
      <w:r w:rsidRPr="00E54204">
        <w:rPr>
          <w:i/>
        </w:rPr>
        <w:t>JW</w:t>
      </w:r>
      <w:r w:rsidRPr="00E54204">
        <w:t xml:space="preserve"> 6.5.2 </w:t>
      </w:r>
      <w:r w:rsidRPr="00E54204">
        <w:rPr>
          <w:rFonts w:cs="Times New Roman"/>
        </w:rPr>
        <w:t>§§</w:t>
      </w:r>
      <w:r w:rsidRPr="00E54204">
        <w:t xml:space="preserve">285-86; </w:t>
      </w:r>
      <w:r w:rsidRPr="00E54204">
        <w:rPr>
          <w:i/>
        </w:rPr>
        <w:t>Ant</w:t>
      </w:r>
      <w:r w:rsidRPr="00E54204">
        <w:t xml:space="preserve"> 13.11.2 </w:t>
      </w:r>
      <w:r w:rsidRPr="00E54204">
        <w:rPr>
          <w:rFonts w:cs="Times New Roman"/>
        </w:rPr>
        <w:t xml:space="preserve">§§311-13; 20.5.1 §97; 20.8.6 § 169. John Collins, </w:t>
      </w:r>
      <w:r w:rsidRPr="00E54204">
        <w:rPr>
          <w:i/>
        </w:rPr>
        <w:t>Daniel: A Commentary on the Book of Daniel</w:t>
      </w:r>
      <w:r w:rsidRPr="00E54204">
        <w:t xml:space="preserve"> (Minneapolis: Fortress Press, 1993), 57, n.467.</w:t>
      </w:r>
    </w:p>
    <w:p w14:paraId="4B93A1FD" w14:textId="77777777" w:rsidR="00E54204" w:rsidRPr="00E54204" w:rsidRDefault="00E54204" w:rsidP="00AA1903">
      <w:pPr>
        <w:pStyle w:val="FootnoteText"/>
      </w:pPr>
    </w:p>
  </w:footnote>
  <w:footnote w:id="171">
    <w:p w14:paraId="79BA4312" w14:textId="77777777" w:rsidR="00E54204" w:rsidRPr="00E54204" w:rsidRDefault="00E54204" w:rsidP="00AA1903">
      <w:pPr>
        <w:pStyle w:val="FootnoteText"/>
      </w:pPr>
      <w:r w:rsidRPr="00E54204">
        <w:rPr>
          <w:rStyle w:val="FootnoteReference"/>
        </w:rPr>
        <w:footnoteRef/>
      </w:r>
      <w:r w:rsidRPr="00E54204">
        <w:t xml:space="preserve"> See Collins, </w:t>
      </w:r>
      <w:r w:rsidRPr="00E54204">
        <w:rPr>
          <w:i/>
        </w:rPr>
        <w:t>Daniel</w:t>
      </w:r>
      <w:r w:rsidRPr="00E54204">
        <w:t>, 58.</w:t>
      </w:r>
    </w:p>
    <w:p w14:paraId="79ABF369" w14:textId="77777777" w:rsidR="00E54204" w:rsidRPr="00E54204" w:rsidRDefault="00E54204" w:rsidP="00AA1903">
      <w:pPr>
        <w:pStyle w:val="FootnoteText"/>
      </w:pPr>
    </w:p>
  </w:footnote>
  <w:footnote w:id="172">
    <w:p w14:paraId="54A5F64F" w14:textId="77777777" w:rsidR="00E54204" w:rsidRPr="00E54204" w:rsidRDefault="00E54204" w:rsidP="00046776">
      <w:pPr>
        <w:pStyle w:val="FootnoteText"/>
      </w:pPr>
      <w:r w:rsidRPr="00E54204">
        <w:rPr>
          <w:rStyle w:val="FootnoteReference"/>
        </w:rPr>
        <w:footnoteRef/>
      </w:r>
      <w:r w:rsidRPr="00E54204">
        <w:t xml:space="preserve"> Aramaic </w:t>
      </w:r>
      <w:r w:rsidRPr="00E54204">
        <w:rPr>
          <w:i/>
        </w:rPr>
        <w:t>nephal</w:t>
      </w:r>
      <w:r w:rsidRPr="00E54204">
        <w:t xml:space="preserve">; “to fall” cf. William Holliday, </w:t>
      </w:r>
      <w:r w:rsidRPr="00E54204">
        <w:rPr>
          <w:i/>
        </w:rPr>
        <w:t>A Concise Hebrew and Aramaic Lexicon of the Old Testament</w:t>
      </w:r>
      <w:r w:rsidRPr="00E54204">
        <w:t>, (Grand Rapids: Eerdmans, 1988), 414.</w:t>
      </w:r>
    </w:p>
    <w:p w14:paraId="7DE71594" w14:textId="77777777" w:rsidR="00E54204" w:rsidRPr="00E54204" w:rsidRDefault="00E54204" w:rsidP="00046776">
      <w:pPr>
        <w:pStyle w:val="FootnoteText"/>
      </w:pPr>
    </w:p>
  </w:footnote>
  <w:footnote w:id="173">
    <w:p w14:paraId="2533C9A6" w14:textId="77777777" w:rsidR="00E54204" w:rsidRPr="00E54204" w:rsidRDefault="00E54204" w:rsidP="00AA1903">
      <w:pPr>
        <w:pStyle w:val="FootnoteText"/>
      </w:pPr>
      <w:r w:rsidRPr="00E54204">
        <w:rPr>
          <w:rStyle w:val="FootnoteReference"/>
        </w:rPr>
        <w:footnoteRef/>
      </w:r>
      <w:r w:rsidRPr="00E54204">
        <w:t xml:space="preserve"> Which may be literally rendered, “while the matter [was] in the mouth of the king.”</w:t>
      </w:r>
    </w:p>
    <w:p w14:paraId="4ECBBAF2" w14:textId="77777777" w:rsidR="00E54204" w:rsidRPr="00E54204" w:rsidRDefault="00E54204" w:rsidP="00AA1903">
      <w:pPr>
        <w:pStyle w:val="FootnoteText"/>
      </w:pPr>
    </w:p>
  </w:footnote>
  <w:footnote w:id="174">
    <w:p w14:paraId="78CFC75A" w14:textId="77777777" w:rsidR="00E54204" w:rsidRPr="00E54204" w:rsidRDefault="00E54204" w:rsidP="00AA1903">
      <w:pPr>
        <w:pStyle w:val="FootnoteText"/>
      </w:pPr>
      <w:r w:rsidRPr="00E54204">
        <w:rPr>
          <w:rStyle w:val="FootnoteReference"/>
        </w:rPr>
        <w:footnoteRef/>
      </w:r>
      <w:r w:rsidRPr="00E54204">
        <w:t xml:space="preserve"> There are other noteworthy examples like Numbers 7:89, where Moses hears God’s voice speaking to him from above the ark of the testimony in the tent of meeting.  Isaiah 40:3; a “voice cries in the wilderness,” 1 Kings 19:12 where God revealed himself in a still small voice to Elijah.</w:t>
      </w:r>
    </w:p>
    <w:p w14:paraId="561FC80C" w14:textId="77777777" w:rsidR="00E54204" w:rsidRPr="00E54204" w:rsidRDefault="00E54204" w:rsidP="00AA1903">
      <w:pPr>
        <w:pStyle w:val="FootnoteText"/>
      </w:pPr>
    </w:p>
  </w:footnote>
  <w:footnote w:id="175">
    <w:p w14:paraId="1C4A540C" w14:textId="77777777" w:rsidR="00E54204" w:rsidRPr="00E54204" w:rsidRDefault="00E54204" w:rsidP="00AA1903">
      <w:pPr>
        <w:pStyle w:val="FootnoteText"/>
      </w:pPr>
      <w:r w:rsidRPr="00E54204">
        <w:rPr>
          <w:rStyle w:val="FootnoteReference"/>
        </w:rPr>
        <w:footnoteRef/>
      </w:r>
      <w:r w:rsidRPr="00E54204">
        <w:t xml:space="preserve"> See Daniel 4:1-27.</w:t>
      </w:r>
    </w:p>
    <w:p w14:paraId="6A87021C" w14:textId="77777777" w:rsidR="00E54204" w:rsidRPr="00E54204" w:rsidRDefault="00E54204" w:rsidP="00AA1903">
      <w:pPr>
        <w:pStyle w:val="FootnoteText"/>
      </w:pPr>
    </w:p>
  </w:footnote>
  <w:footnote w:id="176">
    <w:p w14:paraId="5868DD63" w14:textId="77777777" w:rsidR="00E54204" w:rsidRPr="00E54204" w:rsidRDefault="00E54204" w:rsidP="00AA1903">
      <w:pPr>
        <w:pStyle w:val="FootnoteText"/>
      </w:pPr>
      <w:r w:rsidRPr="00E54204">
        <w:rPr>
          <w:rStyle w:val="FootnoteReference"/>
        </w:rPr>
        <w:footnoteRef/>
      </w:r>
      <w:r w:rsidRPr="00E54204">
        <w:t xml:space="preserve"> D. Sperling opined that the rabbis chose to keep it anonymous due to the monotheistic character of rabbinic Judaism.  See </w:t>
      </w:r>
      <w:r w:rsidRPr="00E54204">
        <w:rPr>
          <w:i/>
        </w:rPr>
        <w:t>Akaddian Egerru and Hebrew Bat Kol</w:t>
      </w:r>
      <w:r w:rsidRPr="00E54204">
        <w:t>, (New York?: JANES, 1972), 73.</w:t>
      </w:r>
    </w:p>
    <w:p w14:paraId="4A020A69" w14:textId="77777777" w:rsidR="00E54204" w:rsidRPr="00E54204" w:rsidRDefault="00E54204" w:rsidP="00AA1903">
      <w:pPr>
        <w:pStyle w:val="FootnoteText"/>
      </w:pPr>
    </w:p>
  </w:footnote>
  <w:footnote w:id="177">
    <w:p w14:paraId="4B564A1E" w14:textId="77777777" w:rsidR="00E54204" w:rsidRPr="00E54204" w:rsidRDefault="00E54204" w:rsidP="00AA1903">
      <w:pPr>
        <w:pStyle w:val="FootnoteText"/>
      </w:pPr>
      <w:r w:rsidRPr="00E54204">
        <w:rPr>
          <w:rStyle w:val="FootnoteReference"/>
        </w:rPr>
        <w:footnoteRef/>
      </w:r>
      <w:r w:rsidRPr="00E54204">
        <w:t xml:space="preserve"> From the Babylonian captivity or exile which is marked with destruction of Jerusalem in 586 BCE.</w:t>
      </w:r>
    </w:p>
    <w:p w14:paraId="486630EC" w14:textId="77777777" w:rsidR="00E54204" w:rsidRPr="00E54204" w:rsidRDefault="00E54204" w:rsidP="00AA1903">
      <w:pPr>
        <w:pStyle w:val="FootnoteText"/>
      </w:pPr>
    </w:p>
  </w:footnote>
  <w:footnote w:id="178">
    <w:p w14:paraId="136FA747" w14:textId="77777777" w:rsidR="00E54204" w:rsidRPr="00E54204" w:rsidRDefault="00E54204" w:rsidP="00AA1903">
      <w:pPr>
        <w:pStyle w:val="FootnoteText"/>
      </w:pPr>
      <w:r w:rsidRPr="00E54204">
        <w:rPr>
          <w:rStyle w:val="FootnoteReference"/>
        </w:rPr>
        <w:footnoteRef/>
      </w:r>
      <w:r w:rsidRPr="00E54204">
        <w:t xml:space="preserve"> The people were afraid because they knew of Nebuchadnezzar’s alleged practice of sodomy.  It is also found in B. </w:t>
      </w:r>
      <w:r w:rsidRPr="00E54204">
        <w:rPr>
          <w:i/>
        </w:rPr>
        <w:t xml:space="preserve">Chg. </w:t>
      </w:r>
      <w:r w:rsidRPr="00E54204">
        <w:t>13a.</w:t>
      </w:r>
    </w:p>
    <w:p w14:paraId="3D710498" w14:textId="77777777" w:rsidR="00E54204" w:rsidRPr="00E54204" w:rsidRDefault="00E54204" w:rsidP="00AA1903">
      <w:pPr>
        <w:pStyle w:val="FootnoteText"/>
      </w:pPr>
    </w:p>
  </w:footnote>
  <w:footnote w:id="179">
    <w:p w14:paraId="33C9FEBB" w14:textId="77777777" w:rsidR="00E54204" w:rsidRPr="00E54204" w:rsidRDefault="00E54204">
      <w:pPr>
        <w:pStyle w:val="FootnoteText"/>
      </w:pPr>
      <w:r w:rsidRPr="00E54204">
        <w:rPr>
          <w:rStyle w:val="FootnoteReference"/>
        </w:rPr>
        <w:footnoteRef/>
      </w:r>
      <w:r w:rsidRPr="00E54204">
        <w:t xml:space="preserve"> Isaiah 14:10.</w:t>
      </w:r>
    </w:p>
    <w:p w14:paraId="673E18A8" w14:textId="77777777" w:rsidR="00E54204" w:rsidRPr="00E54204" w:rsidRDefault="00E54204">
      <w:pPr>
        <w:pStyle w:val="FootnoteText"/>
      </w:pPr>
    </w:p>
  </w:footnote>
  <w:footnote w:id="180">
    <w:p w14:paraId="5444E53C" w14:textId="77777777" w:rsidR="00E54204" w:rsidRPr="00E54204" w:rsidRDefault="00E54204">
      <w:pPr>
        <w:pStyle w:val="FootnoteText"/>
      </w:pPr>
      <w:r w:rsidRPr="00E54204">
        <w:rPr>
          <w:rStyle w:val="FootnoteReference"/>
        </w:rPr>
        <w:footnoteRef/>
      </w:r>
      <w:r w:rsidRPr="00E54204">
        <w:t xml:space="preserve"> This is a quote from Ezekiel 32:19, which is a decree of judgement and lamentation over Pharaoh and other nations who are also proscribed to descend down into </w:t>
      </w:r>
      <w:r w:rsidRPr="00E54204">
        <w:rPr>
          <w:i/>
        </w:rPr>
        <w:t>Sheol</w:t>
      </w:r>
      <w:r w:rsidRPr="00E54204">
        <w:t>.</w:t>
      </w:r>
    </w:p>
    <w:p w14:paraId="721B0077" w14:textId="77777777" w:rsidR="00E54204" w:rsidRPr="00E54204" w:rsidRDefault="00E54204">
      <w:pPr>
        <w:pStyle w:val="FootnoteText"/>
      </w:pPr>
    </w:p>
  </w:footnote>
  <w:footnote w:id="181">
    <w:p w14:paraId="10EDD4FD" w14:textId="77777777" w:rsidR="00E54204" w:rsidRPr="00E54204" w:rsidRDefault="00E54204" w:rsidP="00AA1903">
      <w:pPr>
        <w:pStyle w:val="FootnoteText"/>
      </w:pPr>
      <w:r w:rsidRPr="00E54204">
        <w:rPr>
          <w:rStyle w:val="FootnoteReference"/>
        </w:rPr>
        <w:footnoteRef/>
      </w:r>
      <w:r w:rsidRPr="00E54204">
        <w:t xml:space="preserve"> Scholars acknowledge the Bible as a major source for informing </w:t>
      </w:r>
      <w:r w:rsidRPr="00E54204">
        <w:rPr>
          <w:i/>
        </w:rPr>
        <w:t>Haggadot</w:t>
      </w:r>
      <w:r w:rsidRPr="00E54204">
        <w:t xml:space="preserve">.  However as Raphael Patai noted, in Talmudic and Midrashic literature, some </w:t>
      </w:r>
      <w:r w:rsidRPr="00E54204">
        <w:rPr>
          <w:i/>
        </w:rPr>
        <w:t>Haggadot</w:t>
      </w:r>
      <w:r w:rsidRPr="00E54204">
        <w:t xml:space="preserve"> do not derive from the Bible but from popular or individual fantasy; cf. Raphael Patai, </w:t>
      </w:r>
      <w:r w:rsidRPr="00E54204">
        <w:rPr>
          <w:i/>
        </w:rPr>
        <w:t>Gates to the Old City,</w:t>
      </w:r>
      <w:r w:rsidRPr="00E54204">
        <w:t xml:space="preserve"> (Detroit: Wayne State University Press, 1981), xxix.</w:t>
      </w:r>
    </w:p>
    <w:p w14:paraId="0F1095DA" w14:textId="77777777" w:rsidR="00E54204" w:rsidRPr="00E54204" w:rsidRDefault="00E54204" w:rsidP="00AA1903">
      <w:pPr>
        <w:pStyle w:val="FootnoteText"/>
      </w:pPr>
    </w:p>
  </w:footnote>
  <w:footnote w:id="182">
    <w:p w14:paraId="0A51788E" w14:textId="77777777" w:rsidR="00E54204" w:rsidRPr="00E54204" w:rsidRDefault="00E54204" w:rsidP="00AA1903">
      <w:pPr>
        <w:pStyle w:val="FootnoteText"/>
      </w:pPr>
      <w:r w:rsidRPr="00E54204">
        <w:rPr>
          <w:rStyle w:val="FootnoteReference"/>
        </w:rPr>
        <w:footnoteRef/>
      </w:r>
      <w:r w:rsidRPr="00E54204">
        <w:t xml:space="preserve"> Hebrew </w:t>
      </w:r>
      <w:r w:rsidRPr="00E54204">
        <w:rPr>
          <w:rFonts w:cs="Times New Roman"/>
          <w:i/>
          <w:rtl/>
          <w:lang w:bidi="he-IL"/>
        </w:rPr>
        <w:t>יצה</w:t>
      </w:r>
      <w:r w:rsidRPr="00E54204">
        <w:t>. The passage of Isaiah 2:3 reads, “For from Zion will go forth (</w:t>
      </w:r>
      <w:r w:rsidRPr="00E54204">
        <w:rPr>
          <w:i/>
        </w:rPr>
        <w:t>tetzei</w:t>
      </w:r>
      <w:r w:rsidRPr="00E54204">
        <w:t xml:space="preserve">) torah and the word of the LORD from Jerusalem.”  Interestingly enough, prophetic words from God, in the Bible, are described as moving through space and time.  Examples of the </w:t>
      </w:r>
      <w:r w:rsidRPr="00E54204">
        <w:rPr>
          <w:i/>
        </w:rPr>
        <w:t>bat kol</w:t>
      </w:r>
      <w:r w:rsidRPr="00E54204">
        <w:t xml:space="preserve"> reflect this notion of God’s word taking on a life of its own, as it were, through language describing its origin, movement, and purposes. </w:t>
      </w:r>
    </w:p>
    <w:p w14:paraId="728AA770" w14:textId="77777777" w:rsidR="00E54204" w:rsidRPr="00E54204" w:rsidRDefault="00E54204" w:rsidP="00AA1903">
      <w:pPr>
        <w:pStyle w:val="FootnoteText"/>
      </w:pPr>
    </w:p>
  </w:footnote>
  <w:footnote w:id="183">
    <w:p w14:paraId="4C467B4F" w14:textId="77777777" w:rsidR="00E54204" w:rsidRPr="00E54204" w:rsidRDefault="00E54204">
      <w:pPr>
        <w:pStyle w:val="FootnoteText"/>
      </w:pPr>
      <w:r w:rsidRPr="00E54204">
        <w:rPr>
          <w:rStyle w:val="FootnoteReference"/>
        </w:rPr>
        <w:footnoteRef/>
      </w:r>
      <w:r w:rsidRPr="00E54204">
        <w:t xml:space="preserve"> Jastrow, </w:t>
      </w:r>
      <w:r w:rsidRPr="00E54204">
        <w:rPr>
          <w:i/>
        </w:rPr>
        <w:t>Dictionary</w:t>
      </w:r>
      <w:r w:rsidRPr="00E54204">
        <w:t>, 200.</w:t>
      </w:r>
    </w:p>
    <w:p w14:paraId="46F556D9" w14:textId="77777777" w:rsidR="00E54204" w:rsidRPr="00E54204" w:rsidRDefault="00E54204">
      <w:pPr>
        <w:pStyle w:val="FootnoteText"/>
      </w:pPr>
    </w:p>
  </w:footnote>
  <w:footnote w:id="184">
    <w:p w14:paraId="4D1191CE" w14:textId="77777777" w:rsidR="00E54204" w:rsidRPr="00E54204" w:rsidRDefault="00E54204">
      <w:pPr>
        <w:pStyle w:val="FootnoteText"/>
      </w:pPr>
      <w:r w:rsidRPr="00E54204">
        <w:rPr>
          <w:rStyle w:val="FootnoteReference"/>
        </w:rPr>
        <w:footnoteRef/>
      </w:r>
      <w:r w:rsidRPr="00E54204">
        <w:t xml:space="preserve"> Jastrow, </w:t>
      </w:r>
      <w:r w:rsidRPr="00E54204">
        <w:rPr>
          <w:i/>
        </w:rPr>
        <w:t>Dictionary</w:t>
      </w:r>
      <w:r w:rsidRPr="00E54204">
        <w:t>, 200.</w:t>
      </w:r>
    </w:p>
    <w:p w14:paraId="361376E9" w14:textId="77777777" w:rsidR="00E54204" w:rsidRPr="00E54204" w:rsidRDefault="00E54204">
      <w:pPr>
        <w:pStyle w:val="FootnoteText"/>
      </w:pPr>
    </w:p>
  </w:footnote>
  <w:footnote w:id="185">
    <w:p w14:paraId="23C591C7" w14:textId="77777777" w:rsidR="00E54204" w:rsidRPr="00E54204" w:rsidRDefault="00E54204" w:rsidP="00AA1903">
      <w:pPr>
        <w:pStyle w:val="FootnoteText"/>
      </w:pPr>
      <w:r w:rsidRPr="00E54204">
        <w:rPr>
          <w:rStyle w:val="FootnoteReference"/>
        </w:rPr>
        <w:footnoteRef/>
      </w:r>
      <w:r w:rsidRPr="00E54204">
        <w:t xml:space="preserve"> Genesis 21:17.</w:t>
      </w:r>
    </w:p>
    <w:p w14:paraId="6D763D8E" w14:textId="77777777" w:rsidR="00E54204" w:rsidRPr="00E54204" w:rsidRDefault="00E54204" w:rsidP="00AA1903">
      <w:pPr>
        <w:pStyle w:val="FootnoteText"/>
      </w:pPr>
    </w:p>
  </w:footnote>
  <w:footnote w:id="186">
    <w:p w14:paraId="6C246E9D" w14:textId="77777777" w:rsidR="00E54204" w:rsidRPr="00E54204" w:rsidRDefault="00E54204" w:rsidP="00AA1903">
      <w:pPr>
        <w:pStyle w:val="FootnoteText"/>
      </w:pPr>
      <w:r w:rsidRPr="00E54204">
        <w:rPr>
          <w:rStyle w:val="FootnoteReference"/>
        </w:rPr>
        <w:footnoteRef/>
      </w:r>
      <w:r w:rsidRPr="00E54204">
        <w:t xml:space="preserve"> Nahum Sarna, </w:t>
      </w:r>
      <w:r w:rsidRPr="00E54204">
        <w:rPr>
          <w:i/>
        </w:rPr>
        <w:t>JPS Commentary on Genesis</w:t>
      </w:r>
      <w:r w:rsidRPr="00E54204">
        <w:t>, (Philadelphia: Jewish Publication Society, 1989).</w:t>
      </w:r>
    </w:p>
    <w:p w14:paraId="4CB46AF4" w14:textId="77777777" w:rsidR="00E54204" w:rsidRPr="00E54204" w:rsidRDefault="00E54204" w:rsidP="00AA1903">
      <w:pPr>
        <w:pStyle w:val="FootnoteText"/>
      </w:pPr>
    </w:p>
  </w:footnote>
  <w:footnote w:id="187">
    <w:p w14:paraId="4077FE76" w14:textId="77777777" w:rsidR="00E54204" w:rsidRPr="00E54204" w:rsidRDefault="00E54204" w:rsidP="00AA1903">
      <w:pPr>
        <w:pStyle w:val="FootnoteText"/>
      </w:pPr>
      <w:r w:rsidRPr="00E54204">
        <w:rPr>
          <w:rStyle w:val="FootnoteReference"/>
        </w:rPr>
        <w:footnoteRef/>
      </w:r>
      <w:r w:rsidRPr="00E54204">
        <w:t xml:space="preserve"> Genesis 21:16.</w:t>
      </w:r>
    </w:p>
    <w:p w14:paraId="5669DD51" w14:textId="77777777" w:rsidR="00E54204" w:rsidRPr="00E54204" w:rsidRDefault="00E54204" w:rsidP="00AA1903">
      <w:pPr>
        <w:pStyle w:val="FootnoteText"/>
      </w:pPr>
    </w:p>
  </w:footnote>
  <w:footnote w:id="188">
    <w:p w14:paraId="365C4E35" w14:textId="77777777" w:rsidR="00E54204" w:rsidRPr="00E54204" w:rsidRDefault="00E54204" w:rsidP="00AA1903">
      <w:pPr>
        <w:pStyle w:val="FootnoteText"/>
      </w:pPr>
      <w:r w:rsidRPr="00E54204">
        <w:rPr>
          <w:rStyle w:val="FootnoteReference"/>
        </w:rPr>
        <w:footnoteRef/>
      </w:r>
      <w:r w:rsidRPr="00E54204">
        <w:t xml:space="preserve"> “I will make him a great nation.”</w:t>
      </w:r>
      <w:r w:rsidRPr="00E54204">
        <w:rPr>
          <w:vertAlign w:val="superscript"/>
        </w:rPr>
        <w:t xml:space="preserve">  </w:t>
      </w:r>
      <w:r w:rsidRPr="00E54204">
        <w:t>Genesis 21:18.</w:t>
      </w:r>
    </w:p>
    <w:p w14:paraId="0E3122AB" w14:textId="77777777" w:rsidR="00E54204" w:rsidRPr="00E54204" w:rsidRDefault="00E54204" w:rsidP="00AA1903">
      <w:pPr>
        <w:pStyle w:val="FootnoteText"/>
      </w:pPr>
    </w:p>
  </w:footnote>
  <w:footnote w:id="189">
    <w:p w14:paraId="0E0BC4AE" w14:textId="77777777" w:rsidR="00E54204" w:rsidRPr="00E54204" w:rsidRDefault="00E54204" w:rsidP="00AA1903">
      <w:pPr>
        <w:pStyle w:val="FootnoteText"/>
      </w:pPr>
      <w:r w:rsidRPr="00E54204">
        <w:rPr>
          <w:rStyle w:val="FootnoteReference"/>
        </w:rPr>
        <w:footnoteRef/>
      </w:r>
      <w:r w:rsidRPr="00E54204">
        <w:t xml:space="preserve"> Genesis 21:19.</w:t>
      </w:r>
    </w:p>
    <w:p w14:paraId="7484F06B" w14:textId="77777777" w:rsidR="00E54204" w:rsidRPr="00E54204" w:rsidRDefault="00E54204" w:rsidP="00AA1903">
      <w:pPr>
        <w:pStyle w:val="FootnoteText"/>
      </w:pPr>
    </w:p>
  </w:footnote>
  <w:footnote w:id="190">
    <w:p w14:paraId="2B083554" w14:textId="77777777" w:rsidR="00E54204" w:rsidRPr="00E54204" w:rsidRDefault="00E54204" w:rsidP="00AA1903">
      <w:pPr>
        <w:pStyle w:val="FootnoteText"/>
      </w:pPr>
      <w:r w:rsidRPr="00E54204">
        <w:rPr>
          <w:rStyle w:val="FootnoteReference"/>
        </w:rPr>
        <w:footnoteRef/>
      </w:r>
      <w:r w:rsidRPr="00E54204">
        <w:t xml:space="preserve"> See </w:t>
      </w:r>
      <w:r w:rsidRPr="00E54204">
        <w:rPr>
          <w:i/>
        </w:rPr>
        <w:t>Leviticus Rabbah</w:t>
      </w:r>
      <w:r w:rsidRPr="00E54204">
        <w:t xml:space="preserve"> 20, where a </w:t>
      </w:r>
      <w:r w:rsidRPr="00E54204">
        <w:rPr>
          <w:i/>
        </w:rPr>
        <w:t>bat kol</w:t>
      </w:r>
      <w:r w:rsidRPr="00E54204">
        <w:t xml:space="preserve"> assuages Abraham’s concern that his son, Isaac, was not worthy enough to be sacrificed.  See also, B. </w:t>
      </w:r>
      <w:r w:rsidRPr="00E54204">
        <w:rPr>
          <w:i/>
        </w:rPr>
        <w:t>Gittin</w:t>
      </w:r>
      <w:r w:rsidRPr="00E54204">
        <w:t xml:space="preserve"> 57b, where a mother loses seven of her sons and she alludes to Abraham’s binding of Isaac.</w:t>
      </w:r>
    </w:p>
    <w:p w14:paraId="74F2A61D" w14:textId="77777777" w:rsidR="00E54204" w:rsidRPr="00E54204" w:rsidRDefault="00E54204" w:rsidP="00AA1903">
      <w:pPr>
        <w:pStyle w:val="FootnoteText"/>
      </w:pPr>
    </w:p>
  </w:footnote>
  <w:footnote w:id="191">
    <w:p w14:paraId="1BDB9522" w14:textId="77777777" w:rsidR="00E54204" w:rsidRPr="00E54204" w:rsidRDefault="00E54204" w:rsidP="00BB2BDE">
      <w:pPr>
        <w:pStyle w:val="FootnoteText"/>
      </w:pPr>
      <w:r w:rsidRPr="00E54204">
        <w:rPr>
          <w:rStyle w:val="FootnoteReference"/>
        </w:rPr>
        <w:footnoteRef/>
      </w:r>
      <w:r w:rsidRPr="00E54204">
        <w:t xml:space="preserve"> See Paul V.M. Flesher and Bruce Chilton, </w:t>
      </w:r>
      <w:r w:rsidRPr="00E54204">
        <w:rPr>
          <w:i/>
        </w:rPr>
        <w:t>The Targums: A Critical Introduction</w:t>
      </w:r>
      <w:r w:rsidRPr="00E54204">
        <w:t xml:space="preserve"> (Waco, TX: Baylor University Press, 2011), 457-458.</w:t>
      </w:r>
    </w:p>
    <w:p w14:paraId="51F4F0B9" w14:textId="77777777" w:rsidR="00E54204" w:rsidRPr="00E54204" w:rsidRDefault="00E54204" w:rsidP="00BB2BDE">
      <w:pPr>
        <w:pStyle w:val="FootnoteText"/>
      </w:pPr>
    </w:p>
  </w:footnote>
  <w:footnote w:id="192">
    <w:p w14:paraId="3CC3CBF7" w14:textId="77777777" w:rsidR="00E54204" w:rsidRPr="00E54204" w:rsidRDefault="00E54204" w:rsidP="00724E68">
      <w:pPr>
        <w:pStyle w:val="FootnoteText"/>
      </w:pPr>
      <w:r w:rsidRPr="00E54204">
        <w:rPr>
          <w:rStyle w:val="FootnoteReference"/>
        </w:rPr>
        <w:footnoteRef/>
      </w:r>
      <w:r w:rsidRPr="00E54204">
        <w:t xml:space="preserve"> Oracular: random words that are of divine origin that provide guidance or an answer of sorts.</w:t>
      </w:r>
    </w:p>
    <w:p w14:paraId="3E7485A4" w14:textId="77777777" w:rsidR="00E54204" w:rsidRPr="00E54204" w:rsidRDefault="00E54204" w:rsidP="00724E68">
      <w:pPr>
        <w:pStyle w:val="FootnoteText"/>
      </w:pPr>
    </w:p>
  </w:footnote>
  <w:footnote w:id="193">
    <w:p w14:paraId="1737C64A" w14:textId="77777777" w:rsidR="00E54204" w:rsidRPr="00E54204" w:rsidRDefault="00E54204" w:rsidP="00AA1903">
      <w:pPr>
        <w:pStyle w:val="FootnoteText"/>
      </w:pPr>
      <w:r w:rsidRPr="00E54204">
        <w:rPr>
          <w:rStyle w:val="FootnoteReference"/>
        </w:rPr>
        <w:footnoteRef/>
      </w:r>
      <w:r w:rsidRPr="00E54204">
        <w:t xml:space="preserve"> Judges 7.</w:t>
      </w:r>
    </w:p>
    <w:p w14:paraId="51BEB2F7" w14:textId="77777777" w:rsidR="00E54204" w:rsidRPr="00E54204" w:rsidRDefault="00E54204" w:rsidP="00AA1903">
      <w:pPr>
        <w:pStyle w:val="FootnoteText"/>
      </w:pPr>
    </w:p>
  </w:footnote>
  <w:footnote w:id="194">
    <w:p w14:paraId="1BE47C68" w14:textId="77777777" w:rsidR="00E54204" w:rsidRPr="00E54204" w:rsidRDefault="00E54204" w:rsidP="00AA1903">
      <w:pPr>
        <w:pStyle w:val="FootnoteText"/>
      </w:pPr>
      <w:r w:rsidRPr="00E54204">
        <w:rPr>
          <w:rStyle w:val="FootnoteReference"/>
        </w:rPr>
        <w:footnoteRef/>
      </w:r>
      <w:r w:rsidRPr="00E54204">
        <w:t xml:space="preserve"> Judges 7:14.</w:t>
      </w:r>
    </w:p>
    <w:p w14:paraId="278570FB" w14:textId="77777777" w:rsidR="00E54204" w:rsidRPr="00E54204" w:rsidRDefault="00E54204" w:rsidP="00AA1903">
      <w:pPr>
        <w:pStyle w:val="FootnoteText"/>
      </w:pPr>
    </w:p>
  </w:footnote>
  <w:footnote w:id="195">
    <w:p w14:paraId="454C26CC" w14:textId="77777777" w:rsidR="00E54204" w:rsidRPr="00E54204" w:rsidRDefault="00E54204" w:rsidP="00AA1903">
      <w:pPr>
        <w:pStyle w:val="FootnoteText"/>
      </w:pPr>
      <w:r w:rsidRPr="00E54204">
        <w:rPr>
          <w:rStyle w:val="FootnoteReference"/>
        </w:rPr>
        <w:footnoteRef/>
      </w:r>
      <w:r w:rsidRPr="00E54204">
        <w:t xml:space="preserve"> Translation from Lieberman, </w:t>
      </w:r>
      <w:r w:rsidRPr="00E54204">
        <w:rPr>
          <w:i/>
        </w:rPr>
        <w:t>Hellenism</w:t>
      </w:r>
      <w:r w:rsidRPr="00E54204">
        <w:t>, 195.</w:t>
      </w:r>
    </w:p>
    <w:p w14:paraId="1579433E" w14:textId="77777777" w:rsidR="00E54204" w:rsidRPr="00E54204" w:rsidRDefault="00E54204" w:rsidP="00AA1903">
      <w:pPr>
        <w:pStyle w:val="FootnoteText"/>
      </w:pPr>
    </w:p>
  </w:footnote>
  <w:footnote w:id="196">
    <w:p w14:paraId="681560E9" w14:textId="77777777" w:rsidR="00E54204" w:rsidRPr="00E54204" w:rsidRDefault="00E54204" w:rsidP="00AA1903">
      <w:pPr>
        <w:pStyle w:val="FootnoteText"/>
      </w:pPr>
      <w:r w:rsidRPr="00E54204">
        <w:rPr>
          <w:rStyle w:val="FootnoteReference"/>
        </w:rPr>
        <w:footnoteRef/>
      </w:r>
      <w:r w:rsidRPr="00E54204">
        <w:t xml:space="preserve"> Isaiah 30:20.</w:t>
      </w:r>
    </w:p>
    <w:p w14:paraId="1733BE1D" w14:textId="77777777" w:rsidR="00E54204" w:rsidRPr="00E54204" w:rsidRDefault="00E54204" w:rsidP="00AA1903">
      <w:pPr>
        <w:pStyle w:val="FootnoteText"/>
      </w:pPr>
    </w:p>
  </w:footnote>
  <w:footnote w:id="197">
    <w:p w14:paraId="37110E7D" w14:textId="77777777" w:rsidR="00E54204" w:rsidRPr="00E54204" w:rsidRDefault="00E54204" w:rsidP="00AA1903">
      <w:pPr>
        <w:pStyle w:val="FootnoteText"/>
      </w:pPr>
      <w:r w:rsidRPr="00E54204">
        <w:rPr>
          <w:rStyle w:val="FootnoteReference"/>
        </w:rPr>
        <w:footnoteRef/>
      </w:r>
      <w:r w:rsidRPr="00E54204">
        <w:t xml:space="preserve"> 2</w:t>
      </w:r>
      <w:r w:rsidRPr="00E54204">
        <w:rPr>
          <w:vertAlign w:val="superscript"/>
        </w:rPr>
        <w:t>nd</w:t>
      </w:r>
      <w:r w:rsidRPr="00E54204">
        <w:t xml:space="preserve"> Samuel 5:24.</w:t>
      </w:r>
    </w:p>
    <w:p w14:paraId="2465B4D8" w14:textId="77777777" w:rsidR="00E54204" w:rsidRPr="00E54204" w:rsidRDefault="00E54204" w:rsidP="00AA1903">
      <w:pPr>
        <w:pStyle w:val="FootnoteText"/>
      </w:pPr>
    </w:p>
  </w:footnote>
  <w:footnote w:id="198">
    <w:p w14:paraId="6CD7775E" w14:textId="77777777" w:rsidR="00E54204" w:rsidRPr="00E54204" w:rsidRDefault="00E54204" w:rsidP="00AA1903">
      <w:pPr>
        <w:pStyle w:val="FootnoteText"/>
      </w:pPr>
      <w:r w:rsidRPr="00E54204">
        <w:rPr>
          <w:rStyle w:val="FootnoteReference"/>
        </w:rPr>
        <w:footnoteRef/>
      </w:r>
      <w:r w:rsidRPr="00E54204">
        <w:t xml:space="preserve"> See B. </w:t>
      </w:r>
      <w:r w:rsidRPr="00E54204">
        <w:rPr>
          <w:i/>
        </w:rPr>
        <w:t>Hagigah</w:t>
      </w:r>
      <w:r w:rsidRPr="00E54204">
        <w:t xml:space="preserve"> 15a ff.; </w:t>
      </w:r>
      <w:r w:rsidRPr="00E54204">
        <w:rPr>
          <w:i/>
        </w:rPr>
        <w:t>Gittin</w:t>
      </w:r>
      <w:r w:rsidRPr="00E54204">
        <w:t xml:space="preserve"> 68a; </w:t>
      </w:r>
      <w:r w:rsidRPr="00E54204">
        <w:rPr>
          <w:i/>
        </w:rPr>
        <w:t>Esther Rabbah</w:t>
      </w:r>
      <w:r w:rsidRPr="00E54204">
        <w:t xml:space="preserve"> (to Esther 3:19).</w:t>
      </w:r>
    </w:p>
    <w:p w14:paraId="210B3422" w14:textId="77777777" w:rsidR="00E54204" w:rsidRPr="00E54204" w:rsidRDefault="00E54204" w:rsidP="00AA1903">
      <w:pPr>
        <w:pStyle w:val="FootnoteText"/>
      </w:pPr>
    </w:p>
  </w:footnote>
  <w:footnote w:id="199">
    <w:p w14:paraId="45DBADE1" w14:textId="77777777" w:rsidR="00E54204" w:rsidRPr="00E54204" w:rsidRDefault="00E54204" w:rsidP="00AA1903">
      <w:pPr>
        <w:pStyle w:val="FootnoteText"/>
      </w:pPr>
      <w:r w:rsidRPr="00E54204">
        <w:rPr>
          <w:rStyle w:val="FootnoteReference"/>
        </w:rPr>
        <w:footnoteRef/>
      </w:r>
      <w:r w:rsidRPr="00E54204">
        <w:t xml:space="preserve"> A Platonist philosopher of the first century CE.</w:t>
      </w:r>
    </w:p>
    <w:p w14:paraId="17AA6D0D" w14:textId="77777777" w:rsidR="00E54204" w:rsidRPr="00E54204" w:rsidRDefault="00E54204" w:rsidP="00AA1903">
      <w:pPr>
        <w:pStyle w:val="FootnoteText"/>
      </w:pPr>
    </w:p>
  </w:footnote>
  <w:footnote w:id="200">
    <w:p w14:paraId="00265D2D" w14:textId="77777777" w:rsidR="00E54204" w:rsidRPr="00E54204" w:rsidRDefault="00E54204" w:rsidP="00AA1903">
      <w:pPr>
        <w:pStyle w:val="FootnoteText"/>
      </w:pPr>
      <w:r w:rsidRPr="00E54204">
        <w:rPr>
          <w:rStyle w:val="FootnoteReference"/>
        </w:rPr>
        <w:footnoteRef/>
      </w:r>
      <w:r w:rsidRPr="00E54204">
        <w:t xml:space="preserve"> </w:t>
      </w:r>
      <w:r w:rsidRPr="00E54204">
        <w:rPr>
          <w:i/>
        </w:rPr>
        <w:t>Is. et Osir</w:t>
      </w:r>
      <w:r w:rsidRPr="00E54204">
        <w:t xml:space="preserve">. 14, 356e; cf. Lieberman, </w:t>
      </w:r>
      <w:r w:rsidRPr="00E54204">
        <w:rPr>
          <w:i/>
        </w:rPr>
        <w:t>Hellenism,</w:t>
      </w:r>
      <w:r w:rsidRPr="00E54204">
        <w:t xml:space="preserve"> 196.</w:t>
      </w:r>
    </w:p>
    <w:p w14:paraId="5AD12578" w14:textId="77777777" w:rsidR="00E54204" w:rsidRPr="00E54204" w:rsidRDefault="00E54204" w:rsidP="00AA1903">
      <w:pPr>
        <w:pStyle w:val="FootnoteText"/>
      </w:pPr>
    </w:p>
  </w:footnote>
  <w:footnote w:id="201">
    <w:p w14:paraId="2497472F" w14:textId="77777777" w:rsidR="00E54204" w:rsidRPr="00E54204" w:rsidRDefault="00E54204" w:rsidP="00AA1903">
      <w:pPr>
        <w:pStyle w:val="FootnoteText"/>
      </w:pPr>
      <w:r w:rsidRPr="00E54204">
        <w:rPr>
          <w:rStyle w:val="FootnoteReference"/>
        </w:rPr>
        <w:footnoteRef/>
      </w:r>
      <w:r w:rsidRPr="00E54204">
        <w:t xml:space="preserve"> Lieberman quotes Pausanias (lived second century CE) who in describing the oracle of Hermes in Phrae recounted: “He who wants to inquire from the god whispers his question in the ear of the god.  Then he stops his own ears and leaves the market place.  When he is gone a little way outside, he takes his hands from his ears and whatever words he hears he regards as an oracle.”  Cf. </w:t>
      </w:r>
      <w:r w:rsidRPr="00E54204">
        <w:rPr>
          <w:i/>
        </w:rPr>
        <w:t>Pausanias</w:t>
      </w:r>
      <w:r w:rsidRPr="00E54204">
        <w:t xml:space="preserve"> 9.11.5; Saul Lieberman, </w:t>
      </w:r>
      <w:r w:rsidRPr="00E54204">
        <w:rPr>
          <w:i/>
        </w:rPr>
        <w:t>Hellenism in Jewish Palestine</w:t>
      </w:r>
      <w:r w:rsidRPr="00E54204">
        <w:t>, (New York: JTS, 1950), 197.</w:t>
      </w:r>
    </w:p>
    <w:p w14:paraId="5A92AF16" w14:textId="77777777" w:rsidR="00E54204" w:rsidRPr="00E54204" w:rsidRDefault="00E54204" w:rsidP="00AA1903">
      <w:pPr>
        <w:pStyle w:val="FootnoteText"/>
      </w:pPr>
    </w:p>
  </w:footnote>
  <w:footnote w:id="202">
    <w:p w14:paraId="4853D71A" w14:textId="77777777" w:rsidR="00E54204" w:rsidRPr="00E54204" w:rsidRDefault="00E54204" w:rsidP="00AA1903">
      <w:pPr>
        <w:pStyle w:val="FootnoteText"/>
      </w:pPr>
      <w:r w:rsidRPr="00E54204">
        <w:rPr>
          <w:rStyle w:val="FootnoteReference"/>
        </w:rPr>
        <w:footnoteRef/>
      </w:r>
      <w:r w:rsidRPr="00E54204">
        <w:t xml:space="preserve"> Athanasius, </w:t>
      </w:r>
      <w:r w:rsidRPr="00E54204">
        <w:rPr>
          <w:i/>
        </w:rPr>
        <w:t>vita S. Antonii</w:t>
      </w:r>
      <w:r w:rsidRPr="00E54204">
        <w:t xml:space="preserve"> 2, PG xxvi, 841c.  Another example cited is Augustine, in which he is directed to read the Scripture (i.e., Paul’s epistle) by the chance utterance of children; </w:t>
      </w:r>
      <w:r w:rsidRPr="00E54204">
        <w:rPr>
          <w:i/>
        </w:rPr>
        <w:t>Confessions</w:t>
      </w:r>
      <w:r w:rsidRPr="00E54204">
        <w:t xml:space="preserve">, VIII.12.29; see Lieberman, </w:t>
      </w:r>
      <w:r w:rsidRPr="00E54204">
        <w:rPr>
          <w:i/>
        </w:rPr>
        <w:t>Hellenism</w:t>
      </w:r>
      <w:r w:rsidRPr="00E54204">
        <w:t xml:space="preserve">, 197. </w:t>
      </w:r>
    </w:p>
    <w:p w14:paraId="536FE0CD" w14:textId="77777777" w:rsidR="00E54204" w:rsidRPr="00E54204" w:rsidRDefault="00E54204" w:rsidP="00AA1903">
      <w:pPr>
        <w:pStyle w:val="FootnoteText"/>
      </w:pPr>
    </w:p>
  </w:footnote>
  <w:footnote w:id="203">
    <w:p w14:paraId="061008F2" w14:textId="77777777" w:rsidR="00E54204" w:rsidRPr="00E54204" w:rsidRDefault="00E54204" w:rsidP="00AA1903">
      <w:pPr>
        <w:pStyle w:val="FootnoteText"/>
      </w:pPr>
      <w:r w:rsidRPr="00E54204">
        <w:rPr>
          <w:rStyle w:val="FootnoteReference"/>
        </w:rPr>
        <w:footnoteRef/>
      </w:r>
      <w:r w:rsidRPr="00E54204">
        <w:t xml:space="preserve"> B. </w:t>
      </w:r>
      <w:r w:rsidRPr="00E54204">
        <w:rPr>
          <w:i/>
        </w:rPr>
        <w:t xml:space="preserve">Sotah </w:t>
      </w:r>
      <w:r w:rsidRPr="00E54204">
        <w:t xml:space="preserve">48b; J. </w:t>
      </w:r>
      <w:r w:rsidRPr="00E54204">
        <w:rPr>
          <w:i/>
        </w:rPr>
        <w:t>Sotah</w:t>
      </w:r>
      <w:r w:rsidRPr="00E54204">
        <w:t xml:space="preserve"> 9:14, 24b.</w:t>
      </w:r>
    </w:p>
    <w:p w14:paraId="3033D1AE" w14:textId="77777777" w:rsidR="00E54204" w:rsidRPr="00E54204" w:rsidRDefault="00E54204" w:rsidP="00AA1903">
      <w:pPr>
        <w:pStyle w:val="FootnoteText"/>
      </w:pPr>
    </w:p>
  </w:footnote>
  <w:footnote w:id="204">
    <w:p w14:paraId="4EFFC8AA" w14:textId="77777777" w:rsidR="00E54204" w:rsidRPr="00E54204" w:rsidRDefault="00E54204" w:rsidP="00AA1903">
      <w:pPr>
        <w:pStyle w:val="FootnoteText"/>
      </w:pPr>
      <w:r w:rsidRPr="00E54204">
        <w:rPr>
          <w:rStyle w:val="FootnoteReference"/>
        </w:rPr>
        <w:footnoteRef/>
      </w:r>
      <w:r w:rsidRPr="00E54204">
        <w:t xml:space="preserve"> The phrase is </w:t>
      </w:r>
      <w:r w:rsidRPr="00E54204">
        <w:rPr>
          <w:rtl/>
          <w:lang w:bidi="he-IL"/>
        </w:rPr>
        <w:t>משתמשין</w:t>
      </w:r>
      <w:r w:rsidRPr="00E54204">
        <w:t xml:space="preserve"> </w:t>
      </w:r>
      <w:r w:rsidRPr="00E54204">
        <w:rPr>
          <w:rtl/>
          <w:lang w:bidi="he-IL"/>
        </w:rPr>
        <w:t>היו</w:t>
      </w:r>
      <w:r w:rsidRPr="00E54204">
        <w:t xml:space="preserve"> </w:t>
      </w:r>
      <w:r w:rsidRPr="00E54204">
        <w:rPr>
          <w:rtl/>
          <w:lang w:bidi="he-IL"/>
        </w:rPr>
        <w:t>קול</w:t>
      </w:r>
      <w:r w:rsidRPr="00E54204">
        <w:t xml:space="preserve"> </w:t>
      </w:r>
      <w:r w:rsidRPr="00E54204">
        <w:rPr>
          <w:rtl/>
          <w:lang w:bidi="he-IL"/>
        </w:rPr>
        <w:t>בבת</w:t>
      </w:r>
      <w:r w:rsidRPr="00E54204">
        <w:t xml:space="preserve">.  He notes that this phrase also occurs in B. </w:t>
      </w:r>
      <w:r w:rsidRPr="00E54204">
        <w:rPr>
          <w:i/>
        </w:rPr>
        <w:t xml:space="preserve">Megillah </w:t>
      </w:r>
      <w:r w:rsidRPr="00E54204">
        <w:t xml:space="preserve">25b and that in </w:t>
      </w:r>
      <w:r w:rsidRPr="00E54204">
        <w:rPr>
          <w:i/>
        </w:rPr>
        <w:t>Genesis Rabbah</w:t>
      </w:r>
      <w:r w:rsidRPr="00E54204">
        <w:t xml:space="preserve"> the object being used is the Holy Spirit rather than the </w:t>
      </w:r>
      <w:r w:rsidRPr="00E54204">
        <w:rPr>
          <w:i/>
        </w:rPr>
        <w:t>bat kol</w:t>
      </w:r>
      <w:r w:rsidRPr="00E54204">
        <w:t xml:space="preserve">.  Translation by Lieberman, see Saul Lieberman, </w:t>
      </w:r>
      <w:r w:rsidRPr="00E54204">
        <w:rPr>
          <w:i/>
        </w:rPr>
        <w:t>Hellenism in Jewish Palestine</w:t>
      </w:r>
      <w:r w:rsidRPr="00E54204">
        <w:t>, (New York: JTS, 1950), 195.</w:t>
      </w:r>
    </w:p>
    <w:p w14:paraId="45C21466" w14:textId="77777777" w:rsidR="00E54204" w:rsidRPr="00E54204" w:rsidRDefault="00E54204" w:rsidP="00AA1903">
      <w:pPr>
        <w:pStyle w:val="FootnoteText"/>
      </w:pPr>
    </w:p>
  </w:footnote>
  <w:footnote w:id="205">
    <w:p w14:paraId="41956372" w14:textId="77777777" w:rsidR="00E54204" w:rsidRPr="00E54204" w:rsidRDefault="00E54204" w:rsidP="00AA1903">
      <w:pPr>
        <w:pStyle w:val="FootnoteText"/>
        <w:rPr>
          <w:rFonts w:cs="Times New Roman"/>
        </w:rPr>
      </w:pPr>
      <w:r w:rsidRPr="00E54204">
        <w:rPr>
          <w:rStyle w:val="FootnoteReference"/>
        </w:rPr>
        <w:footnoteRef/>
      </w:r>
      <w:r w:rsidRPr="00E54204">
        <w:t xml:space="preserve"> </w:t>
      </w:r>
      <w:r w:rsidRPr="00E54204">
        <w:rPr>
          <w:rFonts w:cs="Times New Roman"/>
        </w:rPr>
        <w:t xml:space="preserve">χρῆσθαι-which means “use” to make use of.”  Cf. Barclay Newman, </w:t>
      </w:r>
      <w:r w:rsidRPr="00E54204">
        <w:rPr>
          <w:rFonts w:cs="Times New Roman"/>
          <w:i/>
        </w:rPr>
        <w:t>A Concise Greek-English Dictionary of the New Testament</w:t>
      </w:r>
      <w:r w:rsidRPr="00E54204">
        <w:rPr>
          <w:rFonts w:cs="Times New Roman"/>
        </w:rPr>
        <w:t>, (Stuttgart: German Bible Society, 1993), “χράομαι” 198.</w:t>
      </w:r>
    </w:p>
    <w:p w14:paraId="1B14F6D1" w14:textId="77777777" w:rsidR="00E54204" w:rsidRPr="00E54204" w:rsidRDefault="00E54204" w:rsidP="00AA1903">
      <w:pPr>
        <w:pStyle w:val="FootnoteText"/>
      </w:pPr>
    </w:p>
  </w:footnote>
  <w:footnote w:id="206">
    <w:p w14:paraId="0E4D60B5" w14:textId="77777777" w:rsidR="00E54204" w:rsidRPr="00E54204" w:rsidRDefault="00E54204" w:rsidP="00AA1903">
      <w:pPr>
        <w:pStyle w:val="FootnoteText"/>
      </w:pPr>
      <w:r w:rsidRPr="00E54204">
        <w:rPr>
          <w:rStyle w:val="FootnoteReference"/>
        </w:rPr>
        <w:footnoteRef/>
      </w:r>
      <w:r w:rsidRPr="00E54204">
        <w:t xml:space="preserve"> Lieberman, </w:t>
      </w:r>
      <w:r w:rsidRPr="00E54204">
        <w:rPr>
          <w:i/>
        </w:rPr>
        <w:t>Hellenism</w:t>
      </w:r>
      <w:r w:rsidRPr="00E54204">
        <w:t>, 195.</w:t>
      </w:r>
    </w:p>
    <w:p w14:paraId="4983BCBF" w14:textId="77777777" w:rsidR="00E54204" w:rsidRPr="00E54204" w:rsidRDefault="00E54204" w:rsidP="00AA1903">
      <w:pPr>
        <w:pStyle w:val="FootnoteText"/>
      </w:pPr>
    </w:p>
  </w:footnote>
  <w:footnote w:id="207">
    <w:p w14:paraId="5DECBFAE" w14:textId="77777777" w:rsidR="00E54204" w:rsidRPr="00E54204" w:rsidRDefault="00E54204" w:rsidP="00AA1903">
      <w:pPr>
        <w:pStyle w:val="FootnoteText"/>
      </w:pPr>
      <w:r w:rsidRPr="00E54204">
        <w:rPr>
          <w:rStyle w:val="FootnoteReference"/>
        </w:rPr>
        <w:footnoteRef/>
      </w:r>
      <w:r w:rsidRPr="00E54204">
        <w:t xml:space="preserve"> The primary passage prohibiting such practices is Deuteronomy 18:9-12.  “When you come into the land which the LORD your God is giving you, you shall not learn to follow the abominations of those nations.  There shall not be found among you anyone who makes his son or his daughter pass through the fire, or one who practices witchcraft, or a soothsayer, or one who interprets omens, or a sorcerer, or one who conjures spells, or a medium, or a spiritist, or one who calls up the dead.  For all who do these things are an abomination to the LORD, and because of these abominations the LORD your God drives them out from before you.”</w:t>
      </w:r>
    </w:p>
    <w:p w14:paraId="5E825D50" w14:textId="77777777" w:rsidR="00E54204" w:rsidRPr="00E54204" w:rsidRDefault="00E54204" w:rsidP="00AA1903">
      <w:pPr>
        <w:pStyle w:val="FootnoteText"/>
      </w:pPr>
    </w:p>
  </w:footnote>
  <w:footnote w:id="208">
    <w:p w14:paraId="4A429D81" w14:textId="77777777" w:rsidR="00E54204" w:rsidRPr="00E54204" w:rsidRDefault="00E54204" w:rsidP="00AA1903">
      <w:pPr>
        <w:pStyle w:val="FootnoteText"/>
      </w:pPr>
      <w:r w:rsidRPr="00E54204">
        <w:rPr>
          <w:rStyle w:val="FootnoteReference"/>
        </w:rPr>
        <w:footnoteRef/>
      </w:r>
      <w:r w:rsidRPr="00E54204">
        <w:t xml:space="preserve"> Including the previously mentioned example of Gideon receiving a sign through chance utterances, under God’s direction.  And the famous case of Saul consulting a medium at Endor in 1 Samuel 28.</w:t>
      </w:r>
    </w:p>
    <w:p w14:paraId="78A136BA" w14:textId="77777777" w:rsidR="00E54204" w:rsidRPr="00E54204" w:rsidRDefault="00E54204" w:rsidP="00AA1903">
      <w:pPr>
        <w:pStyle w:val="FootnoteText"/>
      </w:pPr>
    </w:p>
  </w:footnote>
  <w:footnote w:id="209">
    <w:p w14:paraId="5BBD67BE" w14:textId="77777777" w:rsidR="00E54204" w:rsidRPr="00E54204" w:rsidRDefault="00E54204" w:rsidP="00AA1903">
      <w:pPr>
        <w:pStyle w:val="FootnoteText"/>
      </w:pPr>
      <w:r w:rsidRPr="00E54204">
        <w:rPr>
          <w:rStyle w:val="FootnoteReference"/>
        </w:rPr>
        <w:footnoteRef/>
      </w:r>
      <w:r w:rsidRPr="00E54204">
        <w:t xml:space="preserve"> James Vanderkam wrote, “The prophetic opposition to pagan divination show, strangely, that Israel’s religious thinkers accepted the fundamental tenet of the mantic arts; through communication with the deity, the future can be known.  This is the central point: it is not the presuppositions of divination that prophetic writers oppose; rather, it was the improper, idolatrous religious system within which such divining occurred.”  James Vanderkam, </w:t>
      </w:r>
      <w:r w:rsidRPr="00E54204">
        <w:rPr>
          <w:i/>
        </w:rPr>
        <w:t>Enoch and the Growth of an Apocalyptic Tradition</w:t>
      </w:r>
      <w:r w:rsidRPr="00E54204">
        <w:t xml:space="preserve"> (Washington D.C.: Catholic Bible Assoc. of America, 1984), 73.</w:t>
      </w:r>
    </w:p>
    <w:p w14:paraId="0C41CCB4" w14:textId="77777777" w:rsidR="00E54204" w:rsidRPr="00E54204" w:rsidRDefault="00E54204" w:rsidP="00AA1903">
      <w:pPr>
        <w:pStyle w:val="FootnoteText"/>
      </w:pPr>
    </w:p>
  </w:footnote>
  <w:footnote w:id="210">
    <w:p w14:paraId="5356BF5A" w14:textId="77777777" w:rsidR="00E54204" w:rsidRPr="00E54204" w:rsidRDefault="00E54204" w:rsidP="00AA1903">
      <w:pPr>
        <w:pStyle w:val="FootnoteText"/>
        <w:rPr>
          <w:rFonts w:cs="Times New Roman"/>
          <w:rtl/>
          <w:lang w:bidi="he-IL"/>
        </w:rPr>
      </w:pPr>
      <w:r w:rsidRPr="00E54204">
        <w:rPr>
          <w:rStyle w:val="FootnoteReference"/>
        </w:rPr>
        <w:footnoteRef/>
      </w:r>
      <w:r w:rsidRPr="00E54204">
        <w:t xml:space="preserve"> ‘</w:t>
      </w:r>
      <w:r w:rsidRPr="00E54204">
        <w:rPr>
          <w:rFonts w:cs="Times New Roman"/>
          <w:i/>
        </w:rPr>
        <w:t>ot</w:t>
      </w:r>
      <w:r w:rsidRPr="00E54204">
        <w:rPr>
          <w:rFonts w:cs="Times New Roman"/>
        </w:rPr>
        <w:t>,</w:t>
      </w:r>
      <w:r w:rsidRPr="00E54204">
        <w:rPr>
          <w:rFonts w:cs="Times New Roman"/>
          <w:rtl/>
          <w:lang w:bidi="he-IL"/>
        </w:rPr>
        <w:t>אות</w:t>
      </w:r>
      <w:r w:rsidRPr="00E54204">
        <w:rPr>
          <w:rFonts w:cs="Times New Roman" w:hint="cs"/>
          <w:rtl/>
          <w:lang w:bidi="he-IL"/>
        </w:rPr>
        <w:t xml:space="preserve"> </w:t>
      </w:r>
    </w:p>
    <w:p w14:paraId="41F7AEBF" w14:textId="77777777" w:rsidR="00E54204" w:rsidRPr="00E54204" w:rsidRDefault="00E54204" w:rsidP="00AA1903">
      <w:pPr>
        <w:pStyle w:val="FootnoteText"/>
      </w:pPr>
    </w:p>
  </w:footnote>
  <w:footnote w:id="211">
    <w:p w14:paraId="55F7A110" w14:textId="77777777" w:rsidR="00E54204" w:rsidRPr="00E54204" w:rsidRDefault="00E54204" w:rsidP="00AA1903">
      <w:pPr>
        <w:pStyle w:val="FootnoteText"/>
      </w:pPr>
      <w:r w:rsidRPr="00E54204">
        <w:rPr>
          <w:rStyle w:val="FootnoteReference"/>
        </w:rPr>
        <w:footnoteRef/>
      </w:r>
      <w:r w:rsidRPr="00E54204">
        <w:t xml:space="preserve"> He cites B. </w:t>
      </w:r>
      <w:r w:rsidRPr="00E54204">
        <w:rPr>
          <w:i/>
        </w:rPr>
        <w:t xml:space="preserve">Chullin </w:t>
      </w:r>
      <w:r w:rsidRPr="00E54204">
        <w:t>95b; J. Sh.</w:t>
      </w:r>
      <w:r w:rsidRPr="00E54204">
        <w:rPr>
          <w:i/>
        </w:rPr>
        <w:t xml:space="preserve"> </w:t>
      </w:r>
      <w:r w:rsidRPr="00E54204">
        <w:t xml:space="preserve">6:9, 8c; cf. Lieberman, </w:t>
      </w:r>
      <w:r w:rsidRPr="00E54204">
        <w:rPr>
          <w:i/>
        </w:rPr>
        <w:t>Hellenism</w:t>
      </w:r>
      <w:r w:rsidRPr="00E54204">
        <w:t>, 197.</w:t>
      </w:r>
    </w:p>
    <w:p w14:paraId="17EACE30" w14:textId="77777777" w:rsidR="00E54204" w:rsidRPr="00E54204" w:rsidRDefault="00E54204" w:rsidP="00AA1903">
      <w:pPr>
        <w:pStyle w:val="FootnoteText"/>
      </w:pPr>
    </w:p>
  </w:footnote>
  <w:footnote w:id="212">
    <w:p w14:paraId="25F4C614" w14:textId="77777777" w:rsidR="00E54204" w:rsidRPr="00E54204" w:rsidRDefault="00E54204" w:rsidP="00AA1903">
      <w:pPr>
        <w:pStyle w:val="FootnoteText"/>
      </w:pPr>
      <w:r w:rsidRPr="00E54204">
        <w:rPr>
          <w:rStyle w:val="FootnoteReference"/>
        </w:rPr>
        <w:footnoteRef/>
      </w:r>
      <w:r w:rsidRPr="00E54204">
        <w:t xml:space="preserve"> Texts like Psalm 147: 15 which reads: “He sends out His command to the earth; his word runs swiftly,” see footnote 48.  And Psalm 103:20: “Bless the LORD, you His angels, who excel in strength, who do his word, heeding to the voice of his word.”   </w:t>
      </w:r>
    </w:p>
    <w:p w14:paraId="3A5FC169" w14:textId="77777777" w:rsidR="00E54204" w:rsidRPr="00E54204" w:rsidRDefault="00E54204" w:rsidP="00AA1903">
      <w:pPr>
        <w:pStyle w:val="FootnoteText"/>
      </w:pPr>
    </w:p>
  </w:footnote>
  <w:footnote w:id="213">
    <w:p w14:paraId="068BB250" w14:textId="77777777" w:rsidR="00E54204" w:rsidRPr="00E54204" w:rsidRDefault="00E54204" w:rsidP="00AA1903">
      <w:pPr>
        <w:pStyle w:val="FootnoteText"/>
      </w:pPr>
      <w:r w:rsidRPr="00E54204">
        <w:rPr>
          <w:rStyle w:val="FootnoteReference"/>
        </w:rPr>
        <w:footnoteRef/>
      </w:r>
      <w:r w:rsidRPr="00E54204">
        <w:t xml:space="preserve"> Kittel et al., </w:t>
      </w:r>
      <w:r w:rsidRPr="00E54204">
        <w:rPr>
          <w:i/>
        </w:rPr>
        <w:t>Theological</w:t>
      </w:r>
      <w:r w:rsidRPr="00E54204">
        <w:t>, 282.</w:t>
      </w:r>
    </w:p>
    <w:p w14:paraId="38446062" w14:textId="77777777" w:rsidR="00E54204" w:rsidRPr="00E54204" w:rsidRDefault="00E54204" w:rsidP="00AA1903">
      <w:pPr>
        <w:pStyle w:val="FootnoteText"/>
        <w:rPr>
          <w:i/>
        </w:rPr>
      </w:pPr>
    </w:p>
  </w:footnote>
  <w:footnote w:id="214">
    <w:p w14:paraId="323267B8" w14:textId="77777777" w:rsidR="00E54204" w:rsidRPr="00E54204" w:rsidRDefault="00E54204" w:rsidP="00AA1903">
      <w:pPr>
        <w:pStyle w:val="FootnoteText"/>
      </w:pPr>
      <w:r w:rsidRPr="00E54204">
        <w:rPr>
          <w:rStyle w:val="FootnoteReference"/>
        </w:rPr>
        <w:footnoteRef/>
      </w:r>
      <w:r w:rsidRPr="00E54204">
        <w:t xml:space="preserve"> See Exodus 19:5; Deut. 4:30, 8:20, 13:18, 15:5, 26:14; Psalm 95:7.</w:t>
      </w:r>
    </w:p>
    <w:p w14:paraId="52C1C8B2" w14:textId="77777777" w:rsidR="00E54204" w:rsidRPr="00E54204" w:rsidRDefault="00E54204" w:rsidP="00AA1903">
      <w:pPr>
        <w:pStyle w:val="FootnoteText"/>
      </w:pPr>
    </w:p>
  </w:footnote>
  <w:footnote w:id="215">
    <w:p w14:paraId="6F3D401C" w14:textId="77777777" w:rsidR="00E54204" w:rsidRPr="00E54204" w:rsidRDefault="00E54204" w:rsidP="00AA1903">
      <w:pPr>
        <w:pStyle w:val="FootnoteText"/>
      </w:pPr>
      <w:r w:rsidRPr="00E54204">
        <w:rPr>
          <w:rStyle w:val="FootnoteReference"/>
        </w:rPr>
        <w:footnoteRef/>
      </w:r>
      <w:r w:rsidRPr="00E54204">
        <w:t xml:space="preserve"> 1 QM 10:10f.  Cf. Kittel et al., </w:t>
      </w:r>
      <w:r w:rsidRPr="00E54204">
        <w:rPr>
          <w:i/>
        </w:rPr>
        <w:t>Theological</w:t>
      </w:r>
      <w:r w:rsidRPr="00E54204">
        <w:t>, 286.</w:t>
      </w:r>
    </w:p>
    <w:p w14:paraId="1BD15E25" w14:textId="77777777" w:rsidR="00E54204" w:rsidRPr="00E54204" w:rsidRDefault="00E54204" w:rsidP="00AA1903">
      <w:pPr>
        <w:pStyle w:val="FootnoteText"/>
      </w:pPr>
    </w:p>
  </w:footnote>
  <w:footnote w:id="216">
    <w:p w14:paraId="4A15818A" w14:textId="77777777" w:rsidR="00E54204" w:rsidRPr="00E54204" w:rsidRDefault="00E54204" w:rsidP="00AA1903">
      <w:pPr>
        <w:pStyle w:val="FootnoteText"/>
      </w:pPr>
      <w:r w:rsidRPr="00E54204">
        <w:rPr>
          <w:rStyle w:val="FootnoteReference"/>
        </w:rPr>
        <w:footnoteRef/>
      </w:r>
      <w:r w:rsidRPr="00E54204">
        <w:t xml:space="preserve"> 1 QH fr. 20:32 (9:53), 20:28 (9:50); Kittel et al., </w:t>
      </w:r>
      <w:r w:rsidRPr="00E54204">
        <w:rPr>
          <w:i/>
        </w:rPr>
        <w:t>Theological</w:t>
      </w:r>
      <w:r w:rsidRPr="00E54204">
        <w:t>, 286.</w:t>
      </w:r>
    </w:p>
    <w:p w14:paraId="36176BA4" w14:textId="77777777" w:rsidR="00E54204" w:rsidRPr="00E54204" w:rsidRDefault="00E54204" w:rsidP="00AA1903">
      <w:pPr>
        <w:pStyle w:val="FootnoteText"/>
      </w:pPr>
    </w:p>
  </w:footnote>
  <w:footnote w:id="217">
    <w:p w14:paraId="3B894A9F" w14:textId="77777777" w:rsidR="00E54204" w:rsidRPr="00E54204" w:rsidRDefault="00E54204">
      <w:pPr>
        <w:pStyle w:val="FootnoteText"/>
      </w:pPr>
      <w:r w:rsidRPr="00E54204">
        <w:rPr>
          <w:rStyle w:val="FootnoteReference"/>
        </w:rPr>
        <w:footnoteRef/>
      </w:r>
      <w:r w:rsidRPr="00E54204">
        <w:t xml:space="preserve"> The “Apocrypha” (pl. of “Apocryphon”) means “hidden books” and are known in Catholic Bibles as the “deuterocanonical books.”  These works include the books of: Tobit, Judith, 1 and 2 Maccabees, Wisdom of Solomon, Ecclesiasticus, and Baruch.  Cf. Martin Abegg, Jr. et al., </w:t>
      </w:r>
      <w:r w:rsidRPr="00E54204">
        <w:rPr>
          <w:i/>
        </w:rPr>
        <w:t>The Dead Sea Scrolls Bible</w:t>
      </w:r>
      <w:r w:rsidRPr="00E54204">
        <w:t xml:space="preserve"> (San Francisco: HarperOne, 1999), viii.</w:t>
      </w:r>
    </w:p>
    <w:p w14:paraId="1D0079A6" w14:textId="77777777" w:rsidR="00E54204" w:rsidRPr="00E54204" w:rsidRDefault="00E54204">
      <w:pPr>
        <w:pStyle w:val="FootnoteText"/>
      </w:pPr>
    </w:p>
  </w:footnote>
  <w:footnote w:id="218">
    <w:p w14:paraId="36479E83" w14:textId="77777777" w:rsidR="00E54204" w:rsidRPr="00E54204" w:rsidRDefault="00E54204" w:rsidP="00AA1903">
      <w:pPr>
        <w:pStyle w:val="FootnoteText"/>
      </w:pPr>
      <w:r w:rsidRPr="00E54204">
        <w:rPr>
          <w:rStyle w:val="FootnoteReference"/>
        </w:rPr>
        <w:footnoteRef/>
      </w:r>
      <w:r w:rsidRPr="00E54204">
        <w:t xml:space="preserve"> Lawrence Schiffman, </w:t>
      </w:r>
      <w:r w:rsidRPr="00E54204">
        <w:rPr>
          <w:i/>
        </w:rPr>
        <w:t xml:space="preserve">From Text to Tradition </w:t>
      </w:r>
      <w:r w:rsidRPr="00E54204">
        <w:t>(Hoboken: Ktav Publishing, 1991), 120.</w:t>
      </w:r>
    </w:p>
    <w:p w14:paraId="7498CCD2" w14:textId="77777777" w:rsidR="00E54204" w:rsidRPr="00E54204" w:rsidRDefault="00E54204" w:rsidP="00AA1903">
      <w:pPr>
        <w:pStyle w:val="FootnoteText"/>
      </w:pPr>
    </w:p>
  </w:footnote>
  <w:footnote w:id="219">
    <w:p w14:paraId="24F68E33" w14:textId="77777777" w:rsidR="00E54204" w:rsidRPr="00E54204" w:rsidRDefault="00E54204" w:rsidP="00AA1903">
      <w:pPr>
        <w:pStyle w:val="FootnoteText"/>
      </w:pPr>
      <w:r w:rsidRPr="00E54204">
        <w:rPr>
          <w:rStyle w:val="FootnoteReference"/>
        </w:rPr>
        <w:footnoteRef/>
      </w:r>
      <w:r w:rsidRPr="00E54204">
        <w:t xml:space="preserve"> Newman, </w:t>
      </w:r>
      <w:r w:rsidRPr="00E54204">
        <w:rPr>
          <w:i/>
        </w:rPr>
        <w:t>Greek-English</w:t>
      </w:r>
      <w:r w:rsidRPr="00E54204">
        <w:t>, 21.</w:t>
      </w:r>
    </w:p>
    <w:p w14:paraId="21BA0263" w14:textId="77777777" w:rsidR="00E54204" w:rsidRPr="00E54204" w:rsidRDefault="00E54204" w:rsidP="00AA1903">
      <w:pPr>
        <w:pStyle w:val="FootnoteText"/>
      </w:pPr>
    </w:p>
  </w:footnote>
  <w:footnote w:id="220">
    <w:p w14:paraId="77FA4ADB" w14:textId="77777777" w:rsidR="00E54204" w:rsidRPr="00E54204" w:rsidRDefault="00E54204">
      <w:pPr>
        <w:pStyle w:val="FootnoteText"/>
        <w:rPr>
          <w:vertAlign w:val="superscript"/>
        </w:rPr>
      </w:pPr>
      <w:r w:rsidRPr="00E54204">
        <w:rPr>
          <w:rStyle w:val="FootnoteReference"/>
        </w:rPr>
        <w:footnoteRef/>
      </w:r>
      <w:r w:rsidRPr="00E54204">
        <w:t xml:space="preserve"> One notable exception is found in Revelation 1:1 where it reads, “The Revelation of Jesus Christ...”</w:t>
      </w:r>
    </w:p>
    <w:p w14:paraId="5816AAEB" w14:textId="77777777" w:rsidR="00E54204" w:rsidRPr="00E54204" w:rsidRDefault="00E54204">
      <w:pPr>
        <w:pStyle w:val="FootnoteText"/>
      </w:pPr>
    </w:p>
  </w:footnote>
  <w:footnote w:id="221">
    <w:p w14:paraId="78A7E0D8" w14:textId="77777777" w:rsidR="00E54204" w:rsidRPr="00E54204" w:rsidRDefault="00E54204" w:rsidP="00AA1903">
      <w:pPr>
        <w:pStyle w:val="FootnoteText"/>
      </w:pPr>
      <w:r w:rsidRPr="00E54204">
        <w:rPr>
          <w:rStyle w:val="FootnoteReference"/>
        </w:rPr>
        <w:footnoteRef/>
      </w:r>
      <w:r w:rsidRPr="00E54204">
        <w:t xml:space="preserve"> The label began to be widely accepted by scholars beginning with Friederich </w:t>
      </w:r>
      <w:r w:rsidRPr="00E54204">
        <w:rPr>
          <w:rFonts w:cs="Times New Roman"/>
          <w:color w:val="000000"/>
          <w:szCs w:val="24"/>
        </w:rPr>
        <w:t>Lücke’</w:t>
      </w:r>
      <w:r w:rsidRPr="00E54204">
        <w:t xml:space="preserve">s comprehensive study on the subject in 1832; cf. John Collins, </w:t>
      </w:r>
      <w:r w:rsidRPr="00E54204">
        <w:rPr>
          <w:i/>
        </w:rPr>
        <w:t>The Apocalyptic Imagination: An Introduction to Jewish Apocalyptic Literature</w:t>
      </w:r>
      <w:r w:rsidRPr="00E54204">
        <w:t xml:space="preserve"> (Grand Rapids: Eerdmans, 1998), 2-3.</w:t>
      </w:r>
    </w:p>
    <w:p w14:paraId="5B69B8C0" w14:textId="77777777" w:rsidR="00E54204" w:rsidRPr="00E54204" w:rsidRDefault="00E54204" w:rsidP="00AA1903">
      <w:pPr>
        <w:pStyle w:val="FootnoteText"/>
      </w:pPr>
    </w:p>
  </w:footnote>
  <w:footnote w:id="222">
    <w:p w14:paraId="01E18861" w14:textId="77777777" w:rsidR="00E54204" w:rsidRPr="00E54204" w:rsidRDefault="00E54204" w:rsidP="00AA1903">
      <w:pPr>
        <w:pStyle w:val="FootnoteText"/>
      </w:pPr>
      <w:r w:rsidRPr="00E54204">
        <w:rPr>
          <w:rStyle w:val="FootnoteReference"/>
        </w:rPr>
        <w:footnoteRef/>
      </w:r>
      <w:r w:rsidRPr="00E54204">
        <w:t xml:space="preserve"> John Collins notes that prior to the rise of Christianity works were not catalogued as “apocalyptic” in antiquity.  The first work to be recognized as </w:t>
      </w:r>
      <w:r w:rsidRPr="00E54204">
        <w:rPr>
          <w:i/>
        </w:rPr>
        <w:t xml:space="preserve">apokalypsis </w:t>
      </w:r>
      <w:r w:rsidRPr="00E54204">
        <w:t xml:space="preserve">(Greek “revelation”) was the book of Revelation of the New Testament, though it is unclear what exactly was meant by the designation; cf. Collins, </w:t>
      </w:r>
      <w:r w:rsidRPr="00E54204">
        <w:rPr>
          <w:i/>
        </w:rPr>
        <w:t>The Apocalyptic</w:t>
      </w:r>
      <w:r w:rsidRPr="00E54204">
        <w:t xml:space="preserve">, 3.  </w:t>
      </w:r>
    </w:p>
    <w:p w14:paraId="4439908F" w14:textId="77777777" w:rsidR="00E54204" w:rsidRPr="00E54204" w:rsidRDefault="00E54204" w:rsidP="00AA1903">
      <w:pPr>
        <w:pStyle w:val="FootnoteText"/>
      </w:pPr>
    </w:p>
  </w:footnote>
  <w:footnote w:id="223">
    <w:p w14:paraId="6F6B94F1" w14:textId="77777777" w:rsidR="00E54204" w:rsidRPr="00E54204" w:rsidRDefault="00E54204" w:rsidP="00AA1903">
      <w:pPr>
        <w:pStyle w:val="FootnoteText"/>
      </w:pPr>
      <w:r w:rsidRPr="00E54204">
        <w:rPr>
          <w:rStyle w:val="FootnoteReference"/>
        </w:rPr>
        <w:footnoteRef/>
      </w:r>
      <w:r w:rsidRPr="00E54204">
        <w:t xml:space="preserve"> There are two primary categories of apocalypse:  “Historical” in which history is reviewed and “other-worldly” in which the purported writer is caught up in a heavenly vision.  Cf. Daniel Harlow, </w:t>
      </w:r>
      <w:r w:rsidRPr="00E54204">
        <w:rPr>
          <w:i/>
        </w:rPr>
        <w:t>The Greek Apocalypse of Baruch</w:t>
      </w:r>
      <w:r w:rsidRPr="00E54204">
        <w:t>, (New York: EJ Brill, 1996), 11.</w:t>
      </w:r>
    </w:p>
    <w:p w14:paraId="0D3DCDFA" w14:textId="77777777" w:rsidR="00E54204" w:rsidRPr="00E54204" w:rsidRDefault="00E54204" w:rsidP="00AA1903">
      <w:pPr>
        <w:pStyle w:val="FootnoteText"/>
      </w:pPr>
    </w:p>
  </w:footnote>
  <w:footnote w:id="224">
    <w:p w14:paraId="17139D01" w14:textId="77777777" w:rsidR="00E54204" w:rsidRPr="00E54204" w:rsidRDefault="00E54204" w:rsidP="00AA1903">
      <w:pPr>
        <w:pStyle w:val="FootnoteText"/>
      </w:pPr>
      <w:r w:rsidRPr="00E54204">
        <w:rPr>
          <w:rStyle w:val="FootnoteReference"/>
        </w:rPr>
        <w:footnoteRef/>
      </w:r>
      <w:r w:rsidRPr="00E54204">
        <w:t xml:space="preserve"> This refers to the issue of God allowing suffering to exist.</w:t>
      </w:r>
    </w:p>
    <w:p w14:paraId="667AF724" w14:textId="77777777" w:rsidR="00E54204" w:rsidRPr="00E54204" w:rsidRDefault="00E54204" w:rsidP="00AA1903">
      <w:pPr>
        <w:pStyle w:val="FootnoteText"/>
      </w:pPr>
    </w:p>
  </w:footnote>
  <w:footnote w:id="225">
    <w:p w14:paraId="166820BC" w14:textId="77777777" w:rsidR="00E54204" w:rsidRPr="00E54204" w:rsidRDefault="00E54204" w:rsidP="00AA1903">
      <w:pPr>
        <w:pStyle w:val="FootnoteText"/>
      </w:pPr>
      <w:r w:rsidRPr="00E54204">
        <w:rPr>
          <w:rStyle w:val="FootnoteReference"/>
        </w:rPr>
        <w:footnoteRef/>
      </w:r>
      <w:r w:rsidRPr="00E54204">
        <w:t xml:space="preserve"> Daniel Harlow has noted that, “In Hellenistic Judaism the otherworldly journey provided a narrative framework for dealing with the problem of theodicy in the aftermath of crises. Cf. Daniel C. Harlow, </w:t>
      </w:r>
      <w:r w:rsidRPr="00E54204">
        <w:rPr>
          <w:i/>
        </w:rPr>
        <w:t>The Greek Apocalypse of Baruch</w:t>
      </w:r>
      <w:r w:rsidRPr="00E54204">
        <w:t>, (New York: EJ Brill, 1996), 1.</w:t>
      </w:r>
    </w:p>
    <w:p w14:paraId="33BC7B0E" w14:textId="77777777" w:rsidR="00E54204" w:rsidRPr="00E54204" w:rsidRDefault="00E54204" w:rsidP="00AA1903">
      <w:pPr>
        <w:pStyle w:val="FootnoteText"/>
      </w:pPr>
    </w:p>
  </w:footnote>
  <w:footnote w:id="226">
    <w:p w14:paraId="60C988BF" w14:textId="77777777" w:rsidR="00E54204" w:rsidRPr="00E54204" w:rsidRDefault="00E54204" w:rsidP="00AA1903">
      <w:pPr>
        <w:pStyle w:val="FootnoteText"/>
      </w:pPr>
      <w:r w:rsidRPr="00E54204">
        <w:rPr>
          <w:rStyle w:val="FootnoteReference"/>
        </w:rPr>
        <w:footnoteRef/>
      </w:r>
      <w:r w:rsidRPr="00E54204">
        <w:t xml:space="preserve"> Other works that were published in the later part of the nineteenth century include: 2 and 3 Baruch, 2 Enoch, the Apocalypse of Abraham, and the Testament of Abraham; cf. Collins, </w:t>
      </w:r>
      <w:r w:rsidRPr="00E54204">
        <w:rPr>
          <w:i/>
        </w:rPr>
        <w:t>The Apocalyptic</w:t>
      </w:r>
      <w:r w:rsidRPr="00E54204">
        <w:t xml:space="preserve">, 3.  Notable Christian works include John’s Revelation (NT) and Hermas, Collins, </w:t>
      </w:r>
      <w:r w:rsidRPr="00E54204">
        <w:rPr>
          <w:i/>
        </w:rPr>
        <w:t>The Apocalyptic</w:t>
      </w:r>
      <w:r w:rsidRPr="00E54204">
        <w:t>, 6, n.16.</w:t>
      </w:r>
    </w:p>
    <w:p w14:paraId="2E8FFE39" w14:textId="77777777" w:rsidR="00E54204" w:rsidRPr="00E54204" w:rsidRDefault="00E54204" w:rsidP="00AA1903">
      <w:pPr>
        <w:pStyle w:val="FootnoteText"/>
      </w:pPr>
    </w:p>
  </w:footnote>
  <w:footnote w:id="227">
    <w:p w14:paraId="6518ADB1" w14:textId="77777777" w:rsidR="00E54204" w:rsidRPr="00E54204" w:rsidRDefault="00E54204" w:rsidP="00AA1903">
      <w:pPr>
        <w:pStyle w:val="FootnoteText"/>
      </w:pPr>
      <w:r w:rsidRPr="00E54204">
        <w:rPr>
          <w:rStyle w:val="FootnoteReference"/>
        </w:rPr>
        <w:footnoteRef/>
      </w:r>
      <w:r w:rsidRPr="00E54204">
        <w:t xml:space="preserve"> Martha Himmelfarb, </w:t>
      </w:r>
      <w:r w:rsidRPr="00E54204">
        <w:rPr>
          <w:i/>
        </w:rPr>
        <w:t>The Apocalypse: A Brief History</w:t>
      </w:r>
      <w:r w:rsidRPr="00E54204">
        <w:t>, (Chichester: Wiley-Blackwell, 2010), 2.</w:t>
      </w:r>
    </w:p>
    <w:p w14:paraId="7ECC4919" w14:textId="77777777" w:rsidR="00E54204" w:rsidRPr="00E54204" w:rsidRDefault="00E54204" w:rsidP="00AA1903">
      <w:pPr>
        <w:pStyle w:val="FootnoteText"/>
      </w:pPr>
    </w:p>
  </w:footnote>
  <w:footnote w:id="228">
    <w:p w14:paraId="7E1D3033" w14:textId="77777777" w:rsidR="00E54204" w:rsidRPr="00E54204" w:rsidRDefault="00E54204" w:rsidP="00AA1903">
      <w:pPr>
        <w:pStyle w:val="FootnoteText"/>
      </w:pPr>
      <w:r w:rsidRPr="00E54204">
        <w:rPr>
          <w:rStyle w:val="FootnoteReference"/>
        </w:rPr>
        <w:footnoteRef/>
      </w:r>
      <w:r w:rsidRPr="00E54204">
        <w:t xml:space="preserve"> He also notes that voices from heaven were known to the Greeks; cf. D.S. Russell, </w:t>
      </w:r>
      <w:r w:rsidRPr="00E54204">
        <w:rPr>
          <w:i/>
        </w:rPr>
        <w:t>The Method and Message of the Jewish Apocalyptic: 200 BC-AD 100</w:t>
      </w:r>
      <w:r w:rsidRPr="00E54204">
        <w:t>, (Philadelphia: The Westminster Press, 1964), 164.</w:t>
      </w:r>
    </w:p>
    <w:p w14:paraId="40CF18ED" w14:textId="77777777" w:rsidR="00E54204" w:rsidRPr="00E54204" w:rsidRDefault="00E54204" w:rsidP="00AA1903">
      <w:pPr>
        <w:pStyle w:val="FootnoteText"/>
      </w:pPr>
    </w:p>
  </w:footnote>
  <w:footnote w:id="229">
    <w:p w14:paraId="63FC1470" w14:textId="77777777" w:rsidR="00E54204" w:rsidRPr="00E54204" w:rsidRDefault="00E54204" w:rsidP="00AA1903">
      <w:pPr>
        <w:pStyle w:val="FootnoteText"/>
      </w:pPr>
      <w:r w:rsidRPr="00E54204">
        <w:rPr>
          <w:rStyle w:val="FootnoteReference"/>
        </w:rPr>
        <w:footnoteRef/>
      </w:r>
      <w:r w:rsidRPr="00E54204">
        <w:t xml:space="preserve"> This was a widespread practice in the ancient world where a literary work is attributed to another person so as to give that work more credential.</w:t>
      </w:r>
    </w:p>
    <w:p w14:paraId="58A8EC72" w14:textId="77777777" w:rsidR="00E54204" w:rsidRPr="00E54204" w:rsidRDefault="00E54204" w:rsidP="00AA1903">
      <w:pPr>
        <w:pStyle w:val="FootnoteText"/>
      </w:pPr>
    </w:p>
  </w:footnote>
  <w:footnote w:id="230">
    <w:p w14:paraId="6383B07F" w14:textId="77777777" w:rsidR="00E54204" w:rsidRPr="00E54204" w:rsidRDefault="00E54204" w:rsidP="00AA1903">
      <w:pPr>
        <w:pStyle w:val="FootnoteText"/>
        <w:rPr>
          <w:bCs/>
        </w:rPr>
      </w:pPr>
      <w:r w:rsidRPr="00E54204">
        <w:rPr>
          <w:rStyle w:val="FootnoteReference"/>
        </w:rPr>
        <w:footnoteRef/>
      </w:r>
      <w:r w:rsidRPr="00E54204">
        <w:t xml:space="preserve"> Louis Ginzberg, </w:t>
      </w:r>
      <w:r w:rsidRPr="00E54204">
        <w:rPr>
          <w:i/>
        </w:rPr>
        <w:t>Some Observations on the Attitude of the Synagogue towards the Apocalyptic-Eschatological Writings</w:t>
      </w:r>
      <w:r w:rsidRPr="00E54204">
        <w:t xml:space="preserve">, </w:t>
      </w:r>
      <w:r w:rsidRPr="00E54204">
        <w:rPr>
          <w:i/>
        </w:rPr>
        <w:t>JBL</w:t>
      </w:r>
      <w:r w:rsidRPr="00E54204">
        <w:t xml:space="preserve"> 41 (1922) 115-136, esp. 131, 134</w:t>
      </w:r>
      <w:r w:rsidRPr="00E54204">
        <w:rPr>
          <w:bCs/>
        </w:rPr>
        <w:t>.  The failed rebellion of Simon “bar Kocbha” (“son of the star”) in 135 CE, a self-proclaimed messiah and military ruler, surely would have contributed to the conservatism of the rabbis.</w:t>
      </w:r>
    </w:p>
    <w:p w14:paraId="4E16E53B" w14:textId="77777777" w:rsidR="00E54204" w:rsidRPr="00E54204" w:rsidRDefault="00E54204" w:rsidP="00AA1903">
      <w:pPr>
        <w:pStyle w:val="FootnoteText"/>
        <w:rPr>
          <w:bCs/>
          <w:i/>
          <w:iCs/>
        </w:rPr>
      </w:pPr>
    </w:p>
  </w:footnote>
  <w:footnote w:id="231">
    <w:p w14:paraId="5F64F441" w14:textId="77777777" w:rsidR="00E54204" w:rsidRPr="00E54204" w:rsidRDefault="00E54204">
      <w:pPr>
        <w:pStyle w:val="FootnoteText"/>
      </w:pPr>
      <w:r w:rsidRPr="00E54204">
        <w:rPr>
          <w:rStyle w:val="FootnoteReference"/>
        </w:rPr>
        <w:footnoteRef/>
      </w:r>
      <w:r w:rsidRPr="00E54204">
        <w:t xml:space="preserve"> Other scholars consider 2 Baruch and 4 Ezra to have originated in </w:t>
      </w:r>
      <w:r w:rsidRPr="00E54204">
        <w:rPr>
          <w:i/>
        </w:rPr>
        <w:t>Tannaitic</w:t>
      </w:r>
      <w:r w:rsidRPr="00E54204">
        <w:t xml:space="preserve"> times rather than the assumption to have been produced by actual Tannaim.</w:t>
      </w:r>
    </w:p>
    <w:p w14:paraId="3EFB4A10" w14:textId="77777777" w:rsidR="00E54204" w:rsidRPr="00E54204" w:rsidRDefault="00E54204">
      <w:pPr>
        <w:pStyle w:val="FootnoteText"/>
      </w:pPr>
    </w:p>
  </w:footnote>
  <w:footnote w:id="232">
    <w:p w14:paraId="49552998" w14:textId="77777777" w:rsidR="00E54204" w:rsidRPr="00E54204" w:rsidRDefault="00E54204" w:rsidP="00AA1903">
      <w:pPr>
        <w:pStyle w:val="FootnoteText"/>
        <w:rPr>
          <w:bCs/>
        </w:rPr>
      </w:pPr>
      <w:r w:rsidRPr="00E54204">
        <w:rPr>
          <w:rStyle w:val="FootnoteReference"/>
        </w:rPr>
        <w:footnoteRef/>
      </w:r>
      <w:r w:rsidRPr="00E54204">
        <w:t xml:space="preserve"> See Robert Kirschner in, </w:t>
      </w:r>
      <w:r w:rsidRPr="00E54204">
        <w:rPr>
          <w:i/>
        </w:rPr>
        <w:t>Apocalyptic and Rabbinic Responses to the Destruction of 70</w:t>
      </w:r>
      <w:r w:rsidRPr="00E54204">
        <w:t>, (</w:t>
      </w:r>
      <w:r w:rsidRPr="00E54204">
        <w:rPr>
          <w:bCs/>
          <w:i/>
          <w:iCs/>
        </w:rPr>
        <w:t>The Harvard Theological Review</w:t>
      </w:r>
      <w:r w:rsidRPr="00E54204">
        <w:rPr>
          <w:bCs/>
        </w:rPr>
        <w:t>, 2nd ser., 78, no. 1, 1985), 31.</w:t>
      </w:r>
    </w:p>
    <w:p w14:paraId="632987A1" w14:textId="77777777" w:rsidR="00E54204" w:rsidRPr="00E54204" w:rsidRDefault="00E54204" w:rsidP="00AA1903">
      <w:pPr>
        <w:pStyle w:val="FootnoteText"/>
        <w:rPr>
          <w:bCs/>
          <w:i/>
          <w:iCs/>
        </w:rPr>
      </w:pPr>
    </w:p>
  </w:footnote>
  <w:footnote w:id="233">
    <w:p w14:paraId="4B451C68" w14:textId="77777777" w:rsidR="00E54204" w:rsidRPr="00E54204" w:rsidRDefault="00E54204" w:rsidP="00AA1903">
      <w:pPr>
        <w:pStyle w:val="FootnoteText"/>
        <w:rPr>
          <w:bCs/>
        </w:rPr>
      </w:pPr>
      <w:r w:rsidRPr="00E54204">
        <w:rPr>
          <w:rStyle w:val="FootnoteReference"/>
        </w:rPr>
        <w:footnoteRef/>
      </w:r>
      <w:r w:rsidRPr="00E54204">
        <w:t xml:space="preserve"> Kirschner notes that besides Josephus’ </w:t>
      </w:r>
      <w:r w:rsidRPr="00E54204">
        <w:rPr>
          <w:i/>
        </w:rPr>
        <w:t>Jewish Wars</w:t>
      </w:r>
      <w:r w:rsidRPr="00E54204">
        <w:t xml:space="preserve"> and the Gospel of Matthew, the only other Jewish texts that we have after the destruction of the Temple are 2 (Syriac) Baruch, 3 (Greek) Baruch, 4 Ezra, and the Apocalypse of Abraham; none survived in its original tongue and the congruence between 2 Baruch and 4 Ezra has been long been noted by scholars.  See Robert Kirschner in, </w:t>
      </w:r>
      <w:r w:rsidRPr="00E54204">
        <w:rPr>
          <w:i/>
        </w:rPr>
        <w:t>Apocalyptic and Rabbinic Responses to the Destruction of 70</w:t>
      </w:r>
      <w:r w:rsidRPr="00E54204">
        <w:t>, (</w:t>
      </w:r>
      <w:r w:rsidRPr="00E54204">
        <w:rPr>
          <w:bCs/>
          <w:i/>
          <w:iCs/>
        </w:rPr>
        <w:t>The Harvard Theological Review</w:t>
      </w:r>
      <w:r w:rsidRPr="00E54204">
        <w:rPr>
          <w:bCs/>
        </w:rPr>
        <w:t>, 2nd ser., 78, no. 1, 1985), 28.</w:t>
      </w:r>
    </w:p>
    <w:p w14:paraId="355F915B" w14:textId="77777777" w:rsidR="00E54204" w:rsidRPr="00E54204" w:rsidRDefault="00E54204" w:rsidP="00AA1903">
      <w:pPr>
        <w:pStyle w:val="FootnoteText"/>
      </w:pPr>
    </w:p>
  </w:footnote>
  <w:footnote w:id="234">
    <w:p w14:paraId="2E582627" w14:textId="77777777" w:rsidR="00E54204" w:rsidRPr="00E54204" w:rsidRDefault="00E54204" w:rsidP="00AA1903">
      <w:pPr>
        <w:pStyle w:val="FootnoteText"/>
      </w:pPr>
      <w:r w:rsidRPr="00E54204">
        <w:rPr>
          <w:rStyle w:val="FootnoteReference"/>
        </w:rPr>
        <w:footnoteRef/>
      </w:r>
      <w:r w:rsidRPr="00E54204">
        <w:t xml:space="preserve"> Kirschner, </w:t>
      </w:r>
      <w:r w:rsidRPr="00E54204">
        <w:rPr>
          <w:i/>
        </w:rPr>
        <w:t>Apocalyptic</w:t>
      </w:r>
      <w:r w:rsidRPr="00E54204">
        <w:t>, 29.</w:t>
      </w:r>
    </w:p>
    <w:p w14:paraId="06BC74B2" w14:textId="77777777" w:rsidR="00E54204" w:rsidRPr="00E54204" w:rsidRDefault="00E54204" w:rsidP="00AA1903">
      <w:pPr>
        <w:pStyle w:val="FootnoteText"/>
      </w:pPr>
    </w:p>
  </w:footnote>
  <w:footnote w:id="235">
    <w:p w14:paraId="06D591EE" w14:textId="77777777" w:rsidR="00E54204" w:rsidRPr="00E54204" w:rsidRDefault="00E54204" w:rsidP="00AA1903">
      <w:pPr>
        <w:pStyle w:val="FootnoteText"/>
      </w:pPr>
      <w:r w:rsidRPr="00E54204">
        <w:rPr>
          <w:rStyle w:val="FootnoteReference"/>
        </w:rPr>
        <w:footnoteRef/>
      </w:r>
      <w:r w:rsidRPr="00E54204">
        <w:t xml:space="preserve"> Y.M. Grintz, </w:t>
      </w:r>
      <w:r w:rsidRPr="00E54204">
        <w:rPr>
          <w:i/>
        </w:rPr>
        <w:t>God in Talmudic Literature</w:t>
      </w:r>
      <w:r w:rsidRPr="00E54204">
        <w:t xml:space="preserve">, (Ency.Jud, 7.) 656-657. Quoted by Kirschner, </w:t>
      </w:r>
      <w:r w:rsidRPr="00E54204">
        <w:rPr>
          <w:i/>
        </w:rPr>
        <w:t>Apocalyptic</w:t>
      </w:r>
      <w:r w:rsidRPr="00E54204">
        <w:t>, 44-45.</w:t>
      </w:r>
    </w:p>
    <w:p w14:paraId="4A4C12F4" w14:textId="77777777" w:rsidR="00E54204" w:rsidRPr="00E54204" w:rsidRDefault="00E54204" w:rsidP="00AA1903">
      <w:pPr>
        <w:pStyle w:val="FootnoteText"/>
      </w:pPr>
    </w:p>
  </w:footnote>
  <w:footnote w:id="236">
    <w:p w14:paraId="637FFD05" w14:textId="77777777" w:rsidR="00E54204" w:rsidRPr="00E54204" w:rsidRDefault="00E54204" w:rsidP="00AA1903">
      <w:pPr>
        <w:pStyle w:val="FootnoteText"/>
      </w:pPr>
      <w:r w:rsidRPr="00E54204">
        <w:rPr>
          <w:rStyle w:val="FootnoteReference"/>
        </w:rPr>
        <w:footnoteRef/>
      </w:r>
      <w:r w:rsidRPr="00E54204">
        <w:t xml:space="preserve"> Ernest Trattner, </w:t>
      </w:r>
      <w:r w:rsidRPr="00E54204">
        <w:rPr>
          <w:i/>
        </w:rPr>
        <w:t>Understanding the Talmud</w:t>
      </w:r>
      <w:r w:rsidRPr="00E54204">
        <w:t>, (New York: Thomas Nelson, 1955), 91.</w:t>
      </w:r>
    </w:p>
    <w:p w14:paraId="401A959D" w14:textId="77777777" w:rsidR="00E54204" w:rsidRPr="00E54204" w:rsidRDefault="00E54204" w:rsidP="00AA1903">
      <w:pPr>
        <w:pStyle w:val="FootnoteText"/>
      </w:pPr>
    </w:p>
  </w:footnote>
  <w:footnote w:id="237">
    <w:p w14:paraId="56EA77FC" w14:textId="77777777" w:rsidR="00E54204" w:rsidRPr="00E54204" w:rsidRDefault="00E54204" w:rsidP="00AA1903">
      <w:pPr>
        <w:pStyle w:val="FootnoteText"/>
      </w:pPr>
      <w:r w:rsidRPr="00E54204">
        <w:rPr>
          <w:rStyle w:val="FootnoteReference"/>
        </w:rPr>
        <w:footnoteRef/>
      </w:r>
      <w:r w:rsidRPr="00E54204">
        <w:t xml:space="preserve">  It is thought to date to the late first century and early second century CE and is in the wider Jewish context of the destruction of the Temple.  Cf. Harlow, </w:t>
      </w:r>
      <w:r w:rsidRPr="00E54204">
        <w:rPr>
          <w:i/>
        </w:rPr>
        <w:t>The Greek</w:t>
      </w:r>
      <w:r w:rsidRPr="00E54204">
        <w:t xml:space="preserve">, 10.  Harlow is of the persuasion that it should be considered a Jewish work and that any Christian elements are later interpolations.  Cf. Harlow, </w:t>
      </w:r>
      <w:r w:rsidRPr="00E54204">
        <w:rPr>
          <w:i/>
        </w:rPr>
        <w:t>The Greek</w:t>
      </w:r>
      <w:r w:rsidRPr="00E54204">
        <w:t>, 4-5.</w:t>
      </w:r>
    </w:p>
    <w:p w14:paraId="7C09D11D" w14:textId="77777777" w:rsidR="00E54204" w:rsidRPr="00E54204" w:rsidRDefault="00E54204" w:rsidP="00AA1903">
      <w:pPr>
        <w:pStyle w:val="FootnoteText"/>
      </w:pPr>
    </w:p>
  </w:footnote>
  <w:footnote w:id="238">
    <w:p w14:paraId="1FA84C2F" w14:textId="77777777" w:rsidR="00E54204" w:rsidRPr="00E54204" w:rsidRDefault="00E54204" w:rsidP="00AA1903">
      <w:pPr>
        <w:pStyle w:val="FootnoteText"/>
      </w:pPr>
      <w:r w:rsidRPr="00E54204">
        <w:rPr>
          <w:rStyle w:val="FootnoteReference"/>
        </w:rPr>
        <w:footnoteRef/>
      </w:r>
      <w:r w:rsidRPr="00E54204">
        <w:t xml:space="preserve"> 3 Baruch 6:13-14.  Translation from Harlow, </w:t>
      </w:r>
      <w:r w:rsidRPr="00E54204">
        <w:rPr>
          <w:i/>
        </w:rPr>
        <w:t>The Greek,</w:t>
      </w:r>
      <w:r w:rsidRPr="00E54204">
        <w:t xml:space="preserve"> 54.</w:t>
      </w:r>
    </w:p>
    <w:p w14:paraId="167F6A4A" w14:textId="77777777" w:rsidR="00E54204" w:rsidRPr="00E54204" w:rsidRDefault="00E54204" w:rsidP="00AA1903">
      <w:pPr>
        <w:pStyle w:val="FootnoteText"/>
      </w:pPr>
    </w:p>
  </w:footnote>
  <w:footnote w:id="239">
    <w:p w14:paraId="311D49BD" w14:textId="77777777" w:rsidR="00E54204" w:rsidRPr="00E54204" w:rsidRDefault="00E54204" w:rsidP="00AA1903">
      <w:pPr>
        <w:pStyle w:val="FootnoteText"/>
      </w:pPr>
      <w:r w:rsidRPr="00E54204">
        <w:rPr>
          <w:rStyle w:val="FootnoteReference"/>
        </w:rPr>
        <w:footnoteRef/>
      </w:r>
      <w:r w:rsidRPr="00E54204">
        <w:t xml:space="preserve"> Harlow, </w:t>
      </w:r>
      <w:r w:rsidRPr="00E54204">
        <w:rPr>
          <w:i/>
        </w:rPr>
        <w:t>The Greek</w:t>
      </w:r>
      <w:r w:rsidRPr="00E54204">
        <w:t>, 54.</w:t>
      </w:r>
    </w:p>
    <w:p w14:paraId="4BA29B9F" w14:textId="77777777" w:rsidR="00E54204" w:rsidRPr="00E54204" w:rsidRDefault="00E54204" w:rsidP="00AA1903">
      <w:pPr>
        <w:pStyle w:val="FootnoteText"/>
      </w:pPr>
    </w:p>
  </w:footnote>
  <w:footnote w:id="240">
    <w:p w14:paraId="3838F2F0" w14:textId="77777777" w:rsidR="00E54204" w:rsidRPr="00E54204" w:rsidRDefault="00E54204" w:rsidP="00AA1903">
      <w:pPr>
        <w:pStyle w:val="FootnoteText"/>
      </w:pPr>
      <w:r w:rsidRPr="00E54204">
        <w:rPr>
          <w:rStyle w:val="FootnoteReference"/>
        </w:rPr>
        <w:footnoteRef/>
      </w:r>
      <w:r w:rsidRPr="00E54204">
        <w:t xml:space="preserve"> Harlow, </w:t>
      </w:r>
      <w:r w:rsidRPr="00E54204">
        <w:rPr>
          <w:i/>
        </w:rPr>
        <w:t>The Greek</w:t>
      </w:r>
      <w:r w:rsidRPr="00E54204">
        <w:t>, 54.</w:t>
      </w:r>
    </w:p>
    <w:p w14:paraId="7BCCA24C" w14:textId="77777777" w:rsidR="00E54204" w:rsidRPr="00E54204" w:rsidRDefault="00E54204" w:rsidP="00AA1903">
      <w:pPr>
        <w:pStyle w:val="FootnoteText"/>
      </w:pPr>
    </w:p>
  </w:footnote>
  <w:footnote w:id="241">
    <w:p w14:paraId="747B37E4" w14:textId="77777777" w:rsidR="00E54204" w:rsidRPr="00E54204" w:rsidRDefault="00E54204" w:rsidP="00AA1903">
      <w:pPr>
        <w:pStyle w:val="FootnoteText"/>
      </w:pPr>
      <w:r w:rsidRPr="00E54204">
        <w:rPr>
          <w:rStyle w:val="FootnoteReference"/>
        </w:rPr>
        <w:footnoteRef/>
      </w:r>
      <w:r w:rsidRPr="00E54204">
        <w:t xml:space="preserve"> See Exodus 9:23, 29, 33f; 19:16.  A peculiar verse is Exodus 20:18 where the people literally saw (</w:t>
      </w:r>
      <w:r w:rsidRPr="00E54204">
        <w:rPr>
          <w:i/>
        </w:rPr>
        <w:t>ro’im</w:t>
      </w:r>
      <w:r w:rsidRPr="00E54204">
        <w:t>) the voices or thundering (</w:t>
      </w:r>
      <w:r w:rsidRPr="00E54204">
        <w:rPr>
          <w:i/>
        </w:rPr>
        <w:t>kolot</w:t>
      </w:r>
      <w:r w:rsidRPr="00E54204">
        <w:t>).</w:t>
      </w:r>
    </w:p>
    <w:p w14:paraId="361C1074" w14:textId="77777777" w:rsidR="00E54204" w:rsidRPr="00E54204" w:rsidRDefault="00E54204" w:rsidP="00AA1903">
      <w:pPr>
        <w:pStyle w:val="FootnoteText"/>
      </w:pPr>
    </w:p>
  </w:footnote>
  <w:footnote w:id="242">
    <w:p w14:paraId="6DAFF7E5" w14:textId="77777777" w:rsidR="00E54204" w:rsidRPr="00E54204" w:rsidRDefault="00E54204" w:rsidP="00AA1903">
      <w:pPr>
        <w:pStyle w:val="FootnoteText"/>
      </w:pPr>
      <w:r w:rsidRPr="00E54204">
        <w:rPr>
          <w:rStyle w:val="FootnoteReference"/>
        </w:rPr>
        <w:footnoteRef/>
      </w:r>
      <w:r w:rsidRPr="00E54204">
        <w:t xml:space="preserve"> Sometimes it refers to God’s voice: cf. Amos 1:2; Isaiah 29:6; 30:30f; Psalm 29.</w:t>
      </w:r>
    </w:p>
    <w:p w14:paraId="12C61085" w14:textId="77777777" w:rsidR="00E54204" w:rsidRPr="00E54204" w:rsidRDefault="00E54204" w:rsidP="00AA1903">
      <w:pPr>
        <w:pStyle w:val="FootnoteText"/>
      </w:pPr>
    </w:p>
  </w:footnote>
  <w:footnote w:id="243">
    <w:p w14:paraId="53746966" w14:textId="77777777" w:rsidR="00E54204" w:rsidRPr="00E54204" w:rsidRDefault="00E54204" w:rsidP="00AA1903">
      <w:pPr>
        <w:pStyle w:val="FootnoteText"/>
      </w:pPr>
      <w:r w:rsidRPr="00E54204">
        <w:rPr>
          <w:rStyle w:val="FootnoteReference"/>
        </w:rPr>
        <w:footnoteRef/>
      </w:r>
      <w:r w:rsidRPr="00E54204">
        <w:t xml:space="preserve"> Harlow, </w:t>
      </w:r>
      <w:r w:rsidRPr="00E54204">
        <w:rPr>
          <w:i/>
        </w:rPr>
        <w:t>The Greek</w:t>
      </w:r>
      <w:r w:rsidRPr="00E54204">
        <w:t>, 54.</w:t>
      </w:r>
    </w:p>
    <w:p w14:paraId="33FC58E7" w14:textId="77777777" w:rsidR="00E54204" w:rsidRPr="00E54204" w:rsidRDefault="00E54204" w:rsidP="00AA1903">
      <w:pPr>
        <w:pStyle w:val="FootnoteText"/>
      </w:pPr>
    </w:p>
  </w:footnote>
  <w:footnote w:id="244">
    <w:p w14:paraId="72EB7081" w14:textId="77777777" w:rsidR="00E54204" w:rsidRPr="00E54204" w:rsidRDefault="00E54204" w:rsidP="00AA1903">
      <w:pPr>
        <w:pStyle w:val="FootnoteText"/>
      </w:pPr>
      <w:r w:rsidRPr="00E54204">
        <w:rPr>
          <w:rStyle w:val="FootnoteReference"/>
        </w:rPr>
        <w:footnoteRef/>
      </w:r>
      <w:r w:rsidRPr="00E54204">
        <w:t xml:space="preserve"> This work is in Slavonic but it is thought to have been translated from Greek with hints of the original being in Hebrew or Aramaic.  It shares with 4 Ezra and 2 Baruch and 3 Baruch provenance from the land of Israel and it too has the destruction of the Temple as its main event, indicative of a probable late-first century CE composition.  This work also has parallels with later Midrashim: </w:t>
      </w:r>
      <w:r w:rsidRPr="00E54204">
        <w:rPr>
          <w:i/>
        </w:rPr>
        <w:t>Genesis Rabbah</w:t>
      </w:r>
      <w:r w:rsidRPr="00E54204">
        <w:t xml:space="preserve"> 38:19 (on Gen. 11:28), Tanna debe Eliyahu 2:25.  Cf. Collins, </w:t>
      </w:r>
      <w:r w:rsidRPr="00E54204">
        <w:rPr>
          <w:i/>
        </w:rPr>
        <w:t>The Apocalyptic</w:t>
      </w:r>
      <w:r w:rsidRPr="00E54204">
        <w:t>, 225.</w:t>
      </w:r>
    </w:p>
    <w:p w14:paraId="4D47F5DB" w14:textId="77777777" w:rsidR="00E54204" w:rsidRPr="00E54204" w:rsidRDefault="00E54204" w:rsidP="00AA1903">
      <w:pPr>
        <w:pStyle w:val="FootnoteText"/>
      </w:pPr>
    </w:p>
  </w:footnote>
  <w:footnote w:id="245">
    <w:p w14:paraId="5CAFA919" w14:textId="77777777" w:rsidR="00E54204" w:rsidRPr="00E54204" w:rsidRDefault="00E54204" w:rsidP="00AA1903">
      <w:pPr>
        <w:pStyle w:val="FootnoteText"/>
      </w:pPr>
      <w:r w:rsidRPr="00E54204">
        <w:rPr>
          <w:rStyle w:val="FootnoteReference"/>
        </w:rPr>
        <w:footnoteRef/>
      </w:r>
      <w:r w:rsidRPr="00E54204">
        <w:t xml:space="preserve"> The book is 32 chapters long and Abraham hears “a voice” normally referring to God on some twenty occasions.</w:t>
      </w:r>
    </w:p>
    <w:p w14:paraId="59F71C6A" w14:textId="77777777" w:rsidR="00E54204" w:rsidRPr="00E54204" w:rsidRDefault="00E54204" w:rsidP="00AA1903">
      <w:pPr>
        <w:pStyle w:val="FootnoteText"/>
      </w:pPr>
    </w:p>
  </w:footnote>
  <w:footnote w:id="246">
    <w:p w14:paraId="780A03C4" w14:textId="77777777" w:rsidR="00E54204" w:rsidRPr="00E54204" w:rsidRDefault="00E54204" w:rsidP="00AA1903">
      <w:pPr>
        <w:pStyle w:val="FootnoteText"/>
      </w:pPr>
      <w:r w:rsidRPr="00E54204">
        <w:rPr>
          <w:rStyle w:val="FootnoteReference"/>
        </w:rPr>
        <w:footnoteRef/>
      </w:r>
      <w:r w:rsidRPr="00E54204">
        <w:t xml:space="preserve"> See Ezekiel 1:26, 28.  Harlow, </w:t>
      </w:r>
      <w:r w:rsidRPr="00E54204">
        <w:rPr>
          <w:i/>
        </w:rPr>
        <w:t>The Greek</w:t>
      </w:r>
      <w:r w:rsidRPr="00E54204">
        <w:t>, 55.</w:t>
      </w:r>
    </w:p>
    <w:p w14:paraId="333F80AC" w14:textId="77777777" w:rsidR="00E54204" w:rsidRPr="00E54204" w:rsidRDefault="00E54204" w:rsidP="00AA1903">
      <w:pPr>
        <w:pStyle w:val="FootnoteText"/>
      </w:pPr>
    </w:p>
  </w:footnote>
  <w:footnote w:id="247">
    <w:p w14:paraId="263813BD" w14:textId="77777777" w:rsidR="00E54204" w:rsidRPr="00E54204" w:rsidRDefault="00E54204" w:rsidP="00AA1903">
      <w:pPr>
        <w:pStyle w:val="FootnoteText"/>
      </w:pPr>
      <w:r w:rsidRPr="00E54204">
        <w:rPr>
          <w:rStyle w:val="FootnoteReference"/>
        </w:rPr>
        <w:footnoteRef/>
      </w:r>
      <w:r w:rsidRPr="00E54204">
        <w:t xml:space="preserve"> God’s revealing to the people of Israel at Mt. Sinai (Exodus 19:16-20; 20:18-21) was where the people saw </w:t>
      </w:r>
      <w:r w:rsidRPr="00E54204">
        <w:rPr>
          <w:i/>
        </w:rPr>
        <w:t>kolot</w:t>
      </w:r>
      <w:r w:rsidRPr="00E54204">
        <w:t xml:space="preserve"> (“voices” or “thundering”) and heard the strong trumpet sound (“kol”) causing all the people to tremble.  Cf. Kittel et al., </w:t>
      </w:r>
      <w:r w:rsidRPr="00E54204">
        <w:rPr>
          <w:i/>
        </w:rPr>
        <w:t>Theological</w:t>
      </w:r>
      <w:r w:rsidRPr="00E54204">
        <w:t xml:space="preserve">, 283.   </w:t>
      </w:r>
    </w:p>
    <w:p w14:paraId="5059F78D" w14:textId="77777777" w:rsidR="00E54204" w:rsidRPr="00E54204" w:rsidRDefault="00E54204" w:rsidP="00AA1903">
      <w:pPr>
        <w:pStyle w:val="FootnoteText"/>
      </w:pPr>
    </w:p>
  </w:footnote>
  <w:footnote w:id="248">
    <w:p w14:paraId="267AB76A" w14:textId="77777777" w:rsidR="00E54204" w:rsidRPr="00E54204" w:rsidRDefault="00E54204" w:rsidP="00AA1903">
      <w:pPr>
        <w:pStyle w:val="FootnoteText"/>
      </w:pPr>
      <w:r w:rsidRPr="00E54204">
        <w:rPr>
          <w:rStyle w:val="FootnoteReference"/>
        </w:rPr>
        <w:footnoteRef/>
      </w:r>
      <w:r w:rsidRPr="00E54204">
        <w:t xml:space="preserve"> And also from the land of Israel.</w:t>
      </w:r>
    </w:p>
    <w:p w14:paraId="4CDB1328" w14:textId="77777777" w:rsidR="00E54204" w:rsidRPr="00E54204" w:rsidRDefault="00E54204" w:rsidP="00AA1903">
      <w:pPr>
        <w:pStyle w:val="FootnoteText"/>
      </w:pPr>
    </w:p>
  </w:footnote>
  <w:footnote w:id="249">
    <w:p w14:paraId="0B7AC179" w14:textId="77777777" w:rsidR="00E54204" w:rsidRPr="00E54204" w:rsidRDefault="00E54204" w:rsidP="00AA1903">
      <w:pPr>
        <w:pStyle w:val="FootnoteText"/>
      </w:pPr>
      <w:r w:rsidRPr="00E54204">
        <w:rPr>
          <w:rStyle w:val="FootnoteReference"/>
        </w:rPr>
        <w:footnoteRef/>
      </w:r>
      <w:r w:rsidRPr="00E54204">
        <w:t xml:space="preserve"> Or “end of days.”  Lawrence Schiffman wrote of it as being the only “true” apocalyptic text found in the apocrypha of the Dead Sea Scrolls; cf. Schiffman, </w:t>
      </w:r>
      <w:r w:rsidRPr="00E54204">
        <w:rPr>
          <w:i/>
        </w:rPr>
        <w:t>From Text</w:t>
      </w:r>
      <w:r w:rsidRPr="00E54204">
        <w:t>, 126.</w:t>
      </w:r>
    </w:p>
    <w:p w14:paraId="7F5CED8F" w14:textId="77777777" w:rsidR="00E54204" w:rsidRPr="00E54204" w:rsidRDefault="00E54204" w:rsidP="00AA1903">
      <w:pPr>
        <w:pStyle w:val="FootnoteText"/>
      </w:pPr>
    </w:p>
  </w:footnote>
  <w:footnote w:id="250">
    <w:p w14:paraId="2B128667" w14:textId="77777777" w:rsidR="00E54204" w:rsidRPr="00E54204" w:rsidRDefault="00E54204" w:rsidP="00AA1903">
      <w:pPr>
        <w:pStyle w:val="FootnoteText"/>
      </w:pPr>
      <w:r w:rsidRPr="00E54204">
        <w:rPr>
          <w:rStyle w:val="FootnoteReference"/>
        </w:rPr>
        <w:footnoteRef/>
      </w:r>
      <w:r w:rsidRPr="00E54204">
        <w:t xml:space="preserve"> Kirschner, </w:t>
      </w:r>
      <w:r w:rsidRPr="00E54204">
        <w:rPr>
          <w:i/>
        </w:rPr>
        <w:t>Apocalyptic</w:t>
      </w:r>
      <w:r w:rsidRPr="00E54204">
        <w:t>, 39.</w:t>
      </w:r>
    </w:p>
    <w:p w14:paraId="00BAF636" w14:textId="77777777" w:rsidR="00E54204" w:rsidRPr="00E54204" w:rsidRDefault="00E54204" w:rsidP="00AA1903">
      <w:pPr>
        <w:pStyle w:val="FootnoteText"/>
      </w:pPr>
    </w:p>
  </w:footnote>
  <w:footnote w:id="251">
    <w:p w14:paraId="1F843276" w14:textId="77777777" w:rsidR="00E54204" w:rsidRPr="00E54204" w:rsidRDefault="00E54204" w:rsidP="00AA1903">
      <w:pPr>
        <w:pStyle w:val="FootnoteText"/>
      </w:pPr>
      <w:r w:rsidRPr="00E54204">
        <w:rPr>
          <w:rStyle w:val="FootnoteReference"/>
        </w:rPr>
        <w:footnoteRef/>
      </w:r>
      <w:r w:rsidRPr="00E54204">
        <w:t xml:space="preserve"> Josephus records that “a voice” was heard in the Temple, prior to its destruction; cf. </w:t>
      </w:r>
      <w:r w:rsidRPr="00E54204">
        <w:rPr>
          <w:i/>
        </w:rPr>
        <w:t xml:space="preserve">Jewish War </w:t>
      </w:r>
      <w:r w:rsidRPr="00E54204">
        <w:t xml:space="preserve">6: 299-300.  Quoted in R.J. Coggins and Michael A. Knibb, </w:t>
      </w:r>
      <w:r w:rsidRPr="00E54204">
        <w:rPr>
          <w:i/>
        </w:rPr>
        <w:t>The First and Second Books of Esdras</w:t>
      </w:r>
      <w:r w:rsidRPr="00E54204">
        <w:t xml:space="preserve"> (Cambridge: Cambridge University Press, 1979), 133.</w:t>
      </w:r>
    </w:p>
    <w:p w14:paraId="2D909F3A" w14:textId="77777777" w:rsidR="00E54204" w:rsidRPr="00E54204" w:rsidRDefault="00E54204" w:rsidP="00AA1903">
      <w:pPr>
        <w:pStyle w:val="FootnoteText"/>
      </w:pPr>
    </w:p>
  </w:footnote>
  <w:footnote w:id="252">
    <w:p w14:paraId="2039488E" w14:textId="77777777" w:rsidR="00E54204" w:rsidRPr="00E54204" w:rsidRDefault="00E54204" w:rsidP="00AA1903">
      <w:pPr>
        <w:pStyle w:val="FootnoteText"/>
      </w:pPr>
      <w:r w:rsidRPr="00E54204">
        <w:rPr>
          <w:rStyle w:val="FootnoteReference"/>
        </w:rPr>
        <w:footnoteRef/>
      </w:r>
      <w:r w:rsidRPr="00E54204">
        <w:t xml:space="preserve"> See 2 Esdras 5:31-40.  Coggins and Knibb, </w:t>
      </w:r>
      <w:r w:rsidRPr="00E54204">
        <w:rPr>
          <w:i/>
        </w:rPr>
        <w:t>The First and Second</w:t>
      </w:r>
      <w:r w:rsidRPr="00E54204">
        <w:t>, 138-139.</w:t>
      </w:r>
    </w:p>
    <w:p w14:paraId="50A12E90" w14:textId="77777777" w:rsidR="00E54204" w:rsidRPr="00E54204" w:rsidRDefault="00E54204" w:rsidP="00AA1903">
      <w:pPr>
        <w:pStyle w:val="FootnoteText"/>
      </w:pPr>
    </w:p>
  </w:footnote>
  <w:footnote w:id="253">
    <w:p w14:paraId="52842AA2" w14:textId="77777777" w:rsidR="00E54204" w:rsidRPr="00E54204" w:rsidRDefault="00E54204" w:rsidP="00AA1903">
      <w:pPr>
        <w:pStyle w:val="FootnoteText"/>
      </w:pPr>
      <w:r w:rsidRPr="00E54204">
        <w:rPr>
          <w:rStyle w:val="FootnoteReference"/>
        </w:rPr>
        <w:footnoteRef/>
      </w:r>
      <w:r w:rsidRPr="00E54204">
        <w:t xml:space="preserve"> This work is in Syriac (a dialect in Aramaic) and is different than 3 Baruch.</w:t>
      </w:r>
    </w:p>
    <w:p w14:paraId="3364629E" w14:textId="77777777" w:rsidR="00E54204" w:rsidRPr="00E54204" w:rsidRDefault="00E54204" w:rsidP="00AA1903">
      <w:pPr>
        <w:pStyle w:val="FootnoteText"/>
      </w:pPr>
    </w:p>
  </w:footnote>
  <w:footnote w:id="254">
    <w:p w14:paraId="2D28121A" w14:textId="77777777" w:rsidR="00E54204" w:rsidRPr="00E54204" w:rsidRDefault="00E54204" w:rsidP="00AA1903">
      <w:pPr>
        <w:pStyle w:val="FootnoteText"/>
      </w:pPr>
      <w:r w:rsidRPr="00E54204">
        <w:rPr>
          <w:rStyle w:val="FootnoteReference"/>
        </w:rPr>
        <w:footnoteRef/>
      </w:r>
      <w:r w:rsidRPr="00E54204">
        <w:t xml:space="preserve"> Collins, </w:t>
      </w:r>
      <w:r w:rsidRPr="00E54204">
        <w:rPr>
          <w:i/>
        </w:rPr>
        <w:t>The Apocalyptic</w:t>
      </w:r>
      <w:r w:rsidRPr="00E54204">
        <w:t>, 224-225.</w:t>
      </w:r>
    </w:p>
    <w:p w14:paraId="754B4CF4" w14:textId="77777777" w:rsidR="00E54204" w:rsidRPr="00E54204" w:rsidRDefault="00E54204" w:rsidP="00AA1903">
      <w:pPr>
        <w:pStyle w:val="FootnoteText"/>
      </w:pPr>
    </w:p>
  </w:footnote>
  <w:footnote w:id="255">
    <w:p w14:paraId="64D420DA" w14:textId="77777777" w:rsidR="00E54204" w:rsidRPr="00E54204" w:rsidRDefault="00E54204" w:rsidP="00AA1903">
      <w:pPr>
        <w:pStyle w:val="FootnoteText"/>
      </w:pPr>
      <w:r w:rsidRPr="00E54204">
        <w:rPr>
          <w:rStyle w:val="FootnoteReference"/>
        </w:rPr>
        <w:footnoteRef/>
      </w:r>
      <w:r w:rsidRPr="00E54204">
        <w:t xml:space="preserve"> See 6:17. Knibb comments that this is the traditional language to describe the sound of God’s voice (cf. Ezek. 43:2, Rev. 1:15).  Cf. Coggins and Knibb, </w:t>
      </w:r>
      <w:r w:rsidRPr="00E54204">
        <w:rPr>
          <w:i/>
        </w:rPr>
        <w:t>The First and Second</w:t>
      </w:r>
      <w:r w:rsidRPr="00E54204">
        <w:t>, 150.</w:t>
      </w:r>
    </w:p>
    <w:p w14:paraId="38FD40E9" w14:textId="77777777" w:rsidR="00E54204" w:rsidRPr="00E54204" w:rsidRDefault="00E54204" w:rsidP="00AA1903">
      <w:pPr>
        <w:pStyle w:val="FootnoteText"/>
      </w:pPr>
    </w:p>
  </w:footnote>
  <w:footnote w:id="256">
    <w:p w14:paraId="66AFEBD5" w14:textId="77777777" w:rsidR="00E54204" w:rsidRPr="00E54204" w:rsidRDefault="00E54204" w:rsidP="00AA1903">
      <w:pPr>
        <w:pStyle w:val="FootnoteText"/>
      </w:pPr>
      <w:r w:rsidRPr="00E54204">
        <w:rPr>
          <w:rStyle w:val="FootnoteReference"/>
        </w:rPr>
        <w:footnoteRef/>
      </w:r>
      <w:r w:rsidRPr="00E54204">
        <w:t xml:space="preserve"> Knibb comments that the simile of wax melting before fire is used in numerous places in the Hebrew Bible to describe God’s self-revelation; cf. Psalm 97:5.  Knibb, </w:t>
      </w:r>
      <w:r w:rsidRPr="00E54204">
        <w:rPr>
          <w:i/>
        </w:rPr>
        <w:t>The First and Second</w:t>
      </w:r>
      <w:r w:rsidRPr="00E54204">
        <w:t xml:space="preserve">, 258.  </w:t>
      </w:r>
    </w:p>
    <w:p w14:paraId="05F72545" w14:textId="77777777" w:rsidR="00E54204" w:rsidRPr="00E54204" w:rsidRDefault="00E54204" w:rsidP="00AA1903">
      <w:pPr>
        <w:pStyle w:val="FootnoteText"/>
      </w:pPr>
    </w:p>
  </w:footnote>
  <w:footnote w:id="257">
    <w:p w14:paraId="755D8834" w14:textId="77777777" w:rsidR="00E54204" w:rsidRPr="00E54204" w:rsidRDefault="00E54204" w:rsidP="00AA1903">
      <w:pPr>
        <w:pStyle w:val="FootnoteText"/>
      </w:pPr>
      <w:r w:rsidRPr="00E54204">
        <w:rPr>
          <w:rStyle w:val="FootnoteReference"/>
        </w:rPr>
        <w:footnoteRef/>
      </w:r>
      <w:r w:rsidRPr="00E54204">
        <w:t xml:space="preserve"> See 13:4, 10.  The imagery may be from Isaiah 11:4 where it reads, “He shall strike the earth with the rod of His mouth, and with the breath of His lips He shall slay the wicked.” </w:t>
      </w:r>
    </w:p>
    <w:p w14:paraId="203F1F50" w14:textId="77777777" w:rsidR="00E54204" w:rsidRPr="00E54204" w:rsidRDefault="00E54204" w:rsidP="00AA1903">
      <w:pPr>
        <w:pStyle w:val="FootnoteText"/>
      </w:pPr>
    </w:p>
  </w:footnote>
  <w:footnote w:id="258">
    <w:p w14:paraId="30A1139C" w14:textId="77777777" w:rsidR="00E54204" w:rsidRPr="00E54204" w:rsidRDefault="00E54204" w:rsidP="00AA1903">
      <w:pPr>
        <w:pStyle w:val="FootnoteText"/>
      </w:pPr>
      <w:r w:rsidRPr="00E54204">
        <w:rPr>
          <w:rStyle w:val="FootnoteReference"/>
        </w:rPr>
        <w:footnoteRef/>
      </w:r>
      <w:r w:rsidRPr="00E54204">
        <w:t xml:space="preserve"> The text in 11: 10 reads, “You have ruled the world for so long; now listen to my message before your time comes to disappear.  None of your successors will achieve a reign as long as yours, nor even half as long.” 11:36 calls the attention of Ezra: “Then I heard a voice which said to me: ‘Look carefully at what you see before you’”. Text from Coggins and Knibb, </w:t>
      </w:r>
      <w:r w:rsidRPr="00E54204">
        <w:rPr>
          <w:i/>
        </w:rPr>
        <w:t>The First and Second</w:t>
      </w:r>
      <w:r w:rsidRPr="00E54204">
        <w:t>, 238, 244.</w:t>
      </w:r>
    </w:p>
    <w:p w14:paraId="2E7A0F74" w14:textId="77777777" w:rsidR="00E54204" w:rsidRPr="00E54204" w:rsidRDefault="00E54204" w:rsidP="00AA1903">
      <w:pPr>
        <w:pStyle w:val="FootnoteText"/>
      </w:pPr>
    </w:p>
  </w:footnote>
  <w:footnote w:id="259">
    <w:p w14:paraId="1BAFAF6F" w14:textId="77777777" w:rsidR="00E54204" w:rsidRPr="00E54204" w:rsidRDefault="00E54204" w:rsidP="00AA1903">
      <w:pPr>
        <w:pStyle w:val="FootnoteText"/>
      </w:pPr>
      <w:r w:rsidRPr="00E54204">
        <w:rPr>
          <w:rStyle w:val="FootnoteReference"/>
        </w:rPr>
        <w:footnoteRef/>
      </w:r>
      <w:r w:rsidRPr="00E54204">
        <w:t xml:space="preserve"> See 14:1, 38.</w:t>
      </w:r>
    </w:p>
    <w:p w14:paraId="3DE9E414" w14:textId="77777777" w:rsidR="00E54204" w:rsidRPr="00E54204" w:rsidRDefault="00E54204" w:rsidP="00AA1903">
      <w:pPr>
        <w:pStyle w:val="FootnoteText"/>
      </w:pPr>
    </w:p>
  </w:footnote>
  <w:footnote w:id="260">
    <w:p w14:paraId="50DFBA4B" w14:textId="77777777" w:rsidR="00E54204" w:rsidRPr="00E54204" w:rsidRDefault="00E54204" w:rsidP="00AA1903">
      <w:pPr>
        <w:pStyle w:val="FootnoteText"/>
      </w:pPr>
      <w:r w:rsidRPr="00E54204">
        <w:rPr>
          <w:rStyle w:val="FootnoteReference"/>
        </w:rPr>
        <w:footnoteRef/>
      </w:r>
      <w:r w:rsidRPr="00E54204">
        <w:t xml:space="preserve"> In Exodus 3:4 when God saw that Moses turned to look God called to him, “Moses! Moses!”</w:t>
      </w:r>
    </w:p>
    <w:p w14:paraId="31FA9FB8" w14:textId="77777777" w:rsidR="00E54204" w:rsidRPr="00E54204" w:rsidRDefault="00E54204" w:rsidP="00AA1903">
      <w:pPr>
        <w:pStyle w:val="FootnoteText"/>
      </w:pPr>
    </w:p>
  </w:footnote>
  <w:footnote w:id="261">
    <w:p w14:paraId="76CE32D4" w14:textId="77777777" w:rsidR="00E54204" w:rsidRPr="00E54204" w:rsidRDefault="00E54204" w:rsidP="00AA1903">
      <w:pPr>
        <w:pStyle w:val="FootnoteText"/>
      </w:pPr>
      <w:r w:rsidRPr="00E54204">
        <w:rPr>
          <w:rStyle w:val="FootnoteReference"/>
        </w:rPr>
        <w:footnoteRef/>
      </w:r>
      <w:r w:rsidRPr="00E54204">
        <w:t xml:space="preserve"> Other apocalyptic references include: </w:t>
      </w:r>
      <w:r w:rsidRPr="00E54204">
        <w:rPr>
          <w:i/>
        </w:rPr>
        <w:t>Testament of Abraham,</w:t>
      </w:r>
      <w:r w:rsidRPr="00E54204">
        <w:t xml:space="preserve"> 10; </w:t>
      </w:r>
      <w:r w:rsidRPr="00E54204">
        <w:rPr>
          <w:i/>
        </w:rPr>
        <w:t>Testament of Levi,</w:t>
      </w:r>
      <w:r w:rsidRPr="00E54204">
        <w:t xml:space="preserve"> 18:6, 2; </w:t>
      </w:r>
      <w:r w:rsidRPr="00E54204">
        <w:rPr>
          <w:i/>
        </w:rPr>
        <w:t>Apocalypse of</w:t>
      </w:r>
      <w:r w:rsidRPr="00E54204">
        <w:t xml:space="preserve"> </w:t>
      </w:r>
      <w:r w:rsidRPr="00E54204">
        <w:rPr>
          <w:i/>
        </w:rPr>
        <w:t xml:space="preserve">Baruch (2), </w:t>
      </w:r>
      <w:r w:rsidRPr="00E54204">
        <w:t xml:space="preserve">13:1, 22:1; </w:t>
      </w:r>
      <w:r w:rsidRPr="00E54204">
        <w:rPr>
          <w:i/>
        </w:rPr>
        <w:t>The Story of Ahikar</w:t>
      </w:r>
      <w:r w:rsidRPr="00E54204">
        <w:t>, 1:11.</w:t>
      </w:r>
    </w:p>
    <w:p w14:paraId="5F80D8D0" w14:textId="77777777" w:rsidR="00E54204" w:rsidRPr="00E54204" w:rsidRDefault="00E54204" w:rsidP="00AA1903">
      <w:pPr>
        <w:pStyle w:val="FootnoteText"/>
      </w:pPr>
    </w:p>
  </w:footnote>
  <w:footnote w:id="262">
    <w:p w14:paraId="6D0A8FAE" w14:textId="77777777" w:rsidR="00E54204" w:rsidRPr="00E54204" w:rsidRDefault="00E54204" w:rsidP="00AA1903">
      <w:pPr>
        <w:pStyle w:val="FootnoteText"/>
      </w:pPr>
      <w:r w:rsidRPr="00E54204">
        <w:rPr>
          <w:rStyle w:val="FootnoteReference"/>
        </w:rPr>
        <w:footnoteRef/>
      </w:r>
      <w:r w:rsidRPr="00E54204">
        <w:t xml:space="preserve"> David Aune, </w:t>
      </w:r>
      <w:r w:rsidRPr="00E54204">
        <w:rPr>
          <w:i/>
        </w:rPr>
        <w:t>Prophecy in Early Christianity and the Ancient Mediterranean World</w:t>
      </w:r>
      <w:r w:rsidRPr="00E54204">
        <w:t xml:space="preserve"> (Grand Rapids: Eerdmans, 1983), 114.</w:t>
      </w:r>
    </w:p>
    <w:p w14:paraId="49370A89" w14:textId="77777777" w:rsidR="00E54204" w:rsidRPr="00E54204" w:rsidRDefault="00E54204" w:rsidP="00AA1903">
      <w:pPr>
        <w:pStyle w:val="FootnoteText"/>
      </w:pPr>
    </w:p>
  </w:footnote>
  <w:footnote w:id="263">
    <w:p w14:paraId="5F9BFB37" w14:textId="77777777" w:rsidR="00E54204" w:rsidRPr="00E54204" w:rsidRDefault="00E54204" w:rsidP="00AA1903">
      <w:pPr>
        <w:pStyle w:val="FootnoteText"/>
      </w:pPr>
      <w:r w:rsidRPr="00E54204">
        <w:rPr>
          <w:rStyle w:val="FootnoteReference"/>
        </w:rPr>
        <w:footnoteRef/>
      </w:r>
      <w:r w:rsidRPr="00E54204">
        <w:t xml:space="preserve"> Aune, </w:t>
      </w:r>
      <w:r w:rsidRPr="00E54204">
        <w:rPr>
          <w:i/>
        </w:rPr>
        <w:t>Prophecy</w:t>
      </w:r>
      <w:r w:rsidRPr="00E54204">
        <w:t>, 115.</w:t>
      </w:r>
    </w:p>
    <w:p w14:paraId="7E0157D3" w14:textId="77777777" w:rsidR="00E54204" w:rsidRPr="00E54204" w:rsidRDefault="00E54204" w:rsidP="00AA1903">
      <w:pPr>
        <w:pStyle w:val="FootnoteText"/>
      </w:pPr>
    </w:p>
  </w:footnote>
  <w:footnote w:id="264">
    <w:p w14:paraId="14933A9B" w14:textId="77777777" w:rsidR="00E54204" w:rsidRPr="00E54204" w:rsidRDefault="00E54204" w:rsidP="00AA1903">
      <w:pPr>
        <w:pStyle w:val="FootnoteText"/>
      </w:pPr>
      <w:r w:rsidRPr="00E54204">
        <w:rPr>
          <w:rStyle w:val="FootnoteReference"/>
        </w:rPr>
        <w:footnoteRef/>
      </w:r>
      <w:r w:rsidRPr="00E54204">
        <w:t xml:space="preserve"> These labels are from Aune’s discussion on apocalyptic literature; cf. Aune, </w:t>
      </w:r>
      <w:r w:rsidRPr="00E54204">
        <w:rPr>
          <w:i/>
        </w:rPr>
        <w:t>Prophecy</w:t>
      </w:r>
      <w:r w:rsidRPr="00E54204">
        <w:t>, 116-117.</w:t>
      </w:r>
    </w:p>
    <w:p w14:paraId="6F3C1702" w14:textId="77777777" w:rsidR="00E54204" w:rsidRPr="00E54204" w:rsidRDefault="00E54204" w:rsidP="00AA1903">
      <w:pPr>
        <w:pStyle w:val="FootnoteText"/>
      </w:pPr>
    </w:p>
  </w:footnote>
  <w:footnote w:id="265">
    <w:p w14:paraId="6F4BAB99" w14:textId="77777777" w:rsidR="00E54204" w:rsidRPr="00E54204" w:rsidRDefault="00E54204" w:rsidP="00AA1903">
      <w:pPr>
        <w:pStyle w:val="FootnoteText"/>
      </w:pPr>
      <w:r w:rsidRPr="00E54204">
        <w:rPr>
          <w:rStyle w:val="FootnoteReference"/>
        </w:rPr>
        <w:footnoteRef/>
      </w:r>
      <w:r w:rsidRPr="00E54204">
        <w:t xml:space="preserve"> Aune, </w:t>
      </w:r>
      <w:r w:rsidRPr="00E54204">
        <w:rPr>
          <w:i/>
        </w:rPr>
        <w:t>Prophecy</w:t>
      </w:r>
      <w:r w:rsidRPr="00E54204">
        <w:t>, 117.</w:t>
      </w:r>
    </w:p>
    <w:p w14:paraId="450300CC" w14:textId="77777777" w:rsidR="00E54204" w:rsidRPr="00E54204" w:rsidRDefault="00E54204" w:rsidP="00AA1903">
      <w:pPr>
        <w:pStyle w:val="FootnoteText"/>
      </w:pPr>
    </w:p>
  </w:footnote>
  <w:footnote w:id="266">
    <w:p w14:paraId="1F426176" w14:textId="77777777" w:rsidR="00E54204" w:rsidRPr="00E54204" w:rsidRDefault="00E54204" w:rsidP="00AA1903">
      <w:pPr>
        <w:pStyle w:val="FootnoteText"/>
      </w:pPr>
      <w:r w:rsidRPr="00E54204">
        <w:rPr>
          <w:rStyle w:val="FootnoteReference"/>
        </w:rPr>
        <w:footnoteRef/>
      </w:r>
      <w:r w:rsidRPr="00E54204">
        <w:t xml:space="preserve"> The Maccabean revolt against one of Alexander’s successors, the Seleucids, could be considered a case in point.</w:t>
      </w:r>
    </w:p>
    <w:p w14:paraId="50A1AD0E" w14:textId="77777777" w:rsidR="00E54204" w:rsidRPr="00E54204" w:rsidRDefault="00E54204" w:rsidP="00AA1903">
      <w:pPr>
        <w:pStyle w:val="FootnoteText"/>
      </w:pPr>
    </w:p>
  </w:footnote>
  <w:footnote w:id="267">
    <w:p w14:paraId="6578CCF9" w14:textId="77777777" w:rsidR="00E54204" w:rsidRPr="00E54204" w:rsidRDefault="00E54204" w:rsidP="00AA1903">
      <w:pPr>
        <w:pStyle w:val="FootnoteText"/>
      </w:pPr>
      <w:r w:rsidRPr="00E54204">
        <w:rPr>
          <w:rStyle w:val="FootnoteReference"/>
        </w:rPr>
        <w:footnoteRef/>
      </w:r>
      <w:r w:rsidRPr="00E54204">
        <w:t xml:space="preserve"> See Execration Tablet of Hadrumetum, Audollent Def. Tab., 271, 23f (3</w:t>
      </w:r>
      <w:r w:rsidRPr="00E54204">
        <w:rPr>
          <w:vertAlign w:val="superscript"/>
        </w:rPr>
        <w:t>rd</w:t>
      </w:r>
      <w:r w:rsidRPr="00E54204">
        <w:t xml:space="preserve"> Century AD); cf.  Kittel, </w:t>
      </w:r>
      <w:r w:rsidRPr="00E54204">
        <w:rPr>
          <w:i/>
        </w:rPr>
        <w:t>Theological</w:t>
      </w:r>
      <w:r w:rsidRPr="00E54204">
        <w:t>, 279.</w:t>
      </w:r>
    </w:p>
    <w:p w14:paraId="665C52F5" w14:textId="77777777" w:rsidR="00E54204" w:rsidRPr="00E54204" w:rsidRDefault="00E54204" w:rsidP="00AA1903">
      <w:pPr>
        <w:pStyle w:val="FootnoteText"/>
      </w:pPr>
    </w:p>
  </w:footnote>
  <w:footnote w:id="268">
    <w:p w14:paraId="7EE76D6C" w14:textId="77777777" w:rsidR="00E54204" w:rsidRPr="00E54204" w:rsidRDefault="00E54204" w:rsidP="00AA1903">
      <w:pPr>
        <w:pStyle w:val="FootnoteText"/>
      </w:pPr>
      <w:r w:rsidRPr="00E54204">
        <w:rPr>
          <w:rStyle w:val="FootnoteReference"/>
        </w:rPr>
        <w:footnoteRef/>
      </w:r>
      <w:r w:rsidRPr="00E54204">
        <w:t xml:space="preserve"> Luc. Icaromenipp., 23; Kittel et al., </w:t>
      </w:r>
      <w:r w:rsidRPr="00E54204">
        <w:rPr>
          <w:i/>
        </w:rPr>
        <w:t>Theological</w:t>
      </w:r>
      <w:r w:rsidRPr="00E54204">
        <w:t>, 279.</w:t>
      </w:r>
    </w:p>
    <w:p w14:paraId="0F5DC212" w14:textId="77777777" w:rsidR="00E54204" w:rsidRPr="00E54204" w:rsidRDefault="00E54204" w:rsidP="00AA1903">
      <w:pPr>
        <w:pStyle w:val="FootnoteText"/>
      </w:pPr>
    </w:p>
  </w:footnote>
  <w:footnote w:id="269">
    <w:p w14:paraId="1AEAED81" w14:textId="77777777" w:rsidR="00E54204" w:rsidRPr="00E54204" w:rsidRDefault="00E54204" w:rsidP="00AA1903">
      <w:pPr>
        <w:pStyle w:val="FootnoteText"/>
      </w:pPr>
      <w:r w:rsidRPr="00E54204">
        <w:rPr>
          <w:rStyle w:val="FootnoteReference"/>
        </w:rPr>
        <w:footnoteRef/>
      </w:r>
      <w:r w:rsidRPr="00E54204">
        <w:t xml:space="preserve"> Plat. Ap., 31d.  Betz notes that this was contrary to popular opinion concerning oracles; “According to Socrates God speaks to the individual who apart from external criteria and alien authorities must himself decide whether he will understand and obey the voice of conscience as the voice of God.” Kittel et al., </w:t>
      </w:r>
      <w:r w:rsidRPr="00E54204">
        <w:rPr>
          <w:i/>
        </w:rPr>
        <w:t>Theological</w:t>
      </w:r>
      <w:r w:rsidRPr="00E54204">
        <w:t>, 280.</w:t>
      </w:r>
    </w:p>
    <w:p w14:paraId="41A633D9" w14:textId="77777777" w:rsidR="00E54204" w:rsidRPr="00E54204" w:rsidRDefault="00E54204" w:rsidP="00AA1903">
      <w:pPr>
        <w:pStyle w:val="FootnoteText"/>
      </w:pPr>
    </w:p>
  </w:footnote>
  <w:footnote w:id="270">
    <w:p w14:paraId="201FD856" w14:textId="77777777" w:rsidR="00E54204" w:rsidRPr="00E54204" w:rsidRDefault="00E54204" w:rsidP="00AA1903">
      <w:pPr>
        <w:pStyle w:val="FootnoteText"/>
      </w:pPr>
      <w:r w:rsidRPr="00E54204">
        <w:rPr>
          <w:rStyle w:val="FootnoteReference"/>
        </w:rPr>
        <w:footnoteRef/>
      </w:r>
      <w:r w:rsidRPr="00E54204">
        <w:t xml:space="preserve"> Kittel et al., </w:t>
      </w:r>
      <w:r w:rsidRPr="00E54204">
        <w:rPr>
          <w:i/>
        </w:rPr>
        <w:t>Theological</w:t>
      </w:r>
      <w:r w:rsidRPr="00E54204">
        <w:t>, 280.</w:t>
      </w:r>
    </w:p>
    <w:p w14:paraId="00BB202E" w14:textId="77777777" w:rsidR="00E54204" w:rsidRPr="00E54204" w:rsidRDefault="00E54204" w:rsidP="00AA1903">
      <w:pPr>
        <w:pStyle w:val="FootnoteText"/>
      </w:pPr>
    </w:p>
  </w:footnote>
  <w:footnote w:id="271">
    <w:p w14:paraId="25CE3C62" w14:textId="77777777" w:rsidR="00E54204" w:rsidRPr="00E54204" w:rsidRDefault="00E54204" w:rsidP="00AA1903">
      <w:pPr>
        <w:pStyle w:val="FootnoteText"/>
      </w:pPr>
      <w:r w:rsidRPr="00E54204">
        <w:rPr>
          <w:rStyle w:val="FootnoteReference"/>
        </w:rPr>
        <w:footnoteRef/>
      </w:r>
      <w:r w:rsidRPr="00E54204">
        <w:t xml:space="preserve"> Another source says that at the birth of Osiris a mysterious voice declared that the Lord of all was manifested; Plut. Is. et Os. 12 (II, 355</w:t>
      </w:r>
      <w:r w:rsidRPr="00E54204">
        <w:rPr>
          <w:sz w:val="16"/>
        </w:rPr>
        <w:t>e), cf. Kittel</w:t>
      </w:r>
      <w:r w:rsidRPr="00E54204">
        <w:t xml:space="preserve"> et al., </w:t>
      </w:r>
      <w:r w:rsidRPr="00E54204">
        <w:rPr>
          <w:i/>
        </w:rPr>
        <w:t>Theological</w:t>
      </w:r>
      <w:r w:rsidRPr="00E54204">
        <w:t>, 279.</w:t>
      </w:r>
    </w:p>
    <w:p w14:paraId="73EF53DE" w14:textId="77777777" w:rsidR="00E54204" w:rsidRPr="00E54204" w:rsidRDefault="00E54204" w:rsidP="00AA1903">
      <w:pPr>
        <w:pStyle w:val="FootnoteText"/>
      </w:pPr>
      <w:r w:rsidRPr="00E54204">
        <w:t xml:space="preserve">  </w:t>
      </w:r>
    </w:p>
  </w:footnote>
  <w:footnote w:id="272">
    <w:p w14:paraId="3F714FF1" w14:textId="77777777" w:rsidR="00E54204" w:rsidRPr="00E54204" w:rsidRDefault="00E54204" w:rsidP="00AA1903">
      <w:pPr>
        <w:pStyle w:val="FootnoteText"/>
      </w:pPr>
      <w:r w:rsidRPr="00E54204">
        <w:rPr>
          <w:rStyle w:val="FootnoteReference"/>
        </w:rPr>
        <w:footnoteRef/>
      </w:r>
      <w:r w:rsidRPr="00E54204">
        <w:t xml:space="preserve"> See </w:t>
      </w:r>
      <w:r w:rsidRPr="00E54204">
        <w:rPr>
          <w:i/>
        </w:rPr>
        <w:t>Histories</w:t>
      </w:r>
      <w:r w:rsidRPr="00E54204">
        <w:t xml:space="preserve"> 5.13.1-2; translation by Louis Feldman and Meyer Reinhold, </w:t>
      </w:r>
      <w:r w:rsidRPr="00E54204">
        <w:rPr>
          <w:i/>
        </w:rPr>
        <w:t>Jewish Life and Thought among Greek and Romans: Primary Readings</w:t>
      </w:r>
      <w:r w:rsidRPr="00E54204">
        <w:t>, (Minneapolis: Fortress Press, 1996), 268.</w:t>
      </w:r>
    </w:p>
    <w:p w14:paraId="79149C26" w14:textId="77777777" w:rsidR="00E54204" w:rsidRPr="00E54204" w:rsidRDefault="00E54204" w:rsidP="00AA1903">
      <w:pPr>
        <w:pStyle w:val="FootnoteText"/>
      </w:pPr>
    </w:p>
  </w:footnote>
  <w:footnote w:id="273">
    <w:p w14:paraId="26B76893" w14:textId="77777777" w:rsidR="00E54204" w:rsidRPr="00E54204" w:rsidRDefault="00E54204" w:rsidP="00AA1903">
      <w:pPr>
        <w:pStyle w:val="FootnoteText"/>
      </w:pPr>
      <w:r w:rsidRPr="00E54204">
        <w:rPr>
          <w:rStyle w:val="FootnoteReference"/>
        </w:rPr>
        <w:footnoteRef/>
      </w:r>
      <w:r w:rsidRPr="00E54204">
        <w:t xml:space="preserve"> See Rev. 16:1, 17; 19:5; 21:3.</w:t>
      </w:r>
    </w:p>
    <w:p w14:paraId="65339229" w14:textId="77777777" w:rsidR="00E54204" w:rsidRPr="00E54204" w:rsidRDefault="00E54204" w:rsidP="00AA1903">
      <w:pPr>
        <w:pStyle w:val="FootnoteText"/>
      </w:pPr>
    </w:p>
  </w:footnote>
  <w:footnote w:id="274">
    <w:p w14:paraId="067B2908" w14:textId="77777777" w:rsidR="00E54204" w:rsidRPr="00E54204" w:rsidRDefault="00E54204" w:rsidP="00AA1903">
      <w:pPr>
        <w:pStyle w:val="FootnoteText"/>
      </w:pPr>
      <w:r w:rsidRPr="00E54204">
        <w:rPr>
          <w:rStyle w:val="FootnoteReference"/>
        </w:rPr>
        <w:footnoteRef/>
      </w:r>
      <w:r w:rsidRPr="00E54204">
        <w:t xml:space="preserve"> Which then comes from two Greek words, </w:t>
      </w:r>
      <w:r w:rsidRPr="00E54204">
        <w:rPr>
          <w:i/>
        </w:rPr>
        <w:t>chresmos</w:t>
      </w:r>
      <w:r w:rsidRPr="00E54204">
        <w:t xml:space="preserve"> (comes from </w:t>
      </w:r>
      <w:r w:rsidRPr="00E54204">
        <w:rPr>
          <w:i/>
        </w:rPr>
        <w:t xml:space="preserve">chrao </w:t>
      </w:r>
      <w:r w:rsidRPr="00E54204">
        <w:t xml:space="preserve">“to proclaim”) and </w:t>
      </w:r>
      <w:r w:rsidRPr="00E54204">
        <w:rPr>
          <w:i/>
        </w:rPr>
        <w:t>chresterion</w:t>
      </w:r>
      <w:r w:rsidRPr="00E54204">
        <w:t xml:space="preserve"> (from </w:t>
      </w:r>
      <w:r w:rsidRPr="00E54204">
        <w:rPr>
          <w:i/>
        </w:rPr>
        <w:t xml:space="preserve">chraomai </w:t>
      </w:r>
      <w:r w:rsidRPr="00E54204">
        <w:t xml:space="preserve">“to enquire of an oracle.”  Cf. Richard Stoneman, </w:t>
      </w:r>
      <w:r w:rsidRPr="00E54204">
        <w:rPr>
          <w:i/>
        </w:rPr>
        <w:t xml:space="preserve">The Ancient Oracles: Making the Gods Speak </w:t>
      </w:r>
      <w:r w:rsidRPr="00E54204">
        <w:t>(New Haven, CT: Yale University Press, 2011), 13.</w:t>
      </w:r>
    </w:p>
    <w:p w14:paraId="3DE1CE3B" w14:textId="77777777" w:rsidR="00E54204" w:rsidRPr="00E54204" w:rsidRDefault="00E54204" w:rsidP="00AA1903">
      <w:pPr>
        <w:pStyle w:val="FootnoteText"/>
      </w:pPr>
    </w:p>
  </w:footnote>
  <w:footnote w:id="275">
    <w:p w14:paraId="1AB17B5D" w14:textId="77777777" w:rsidR="00E54204" w:rsidRPr="00E54204" w:rsidRDefault="00E54204" w:rsidP="00AA1903">
      <w:pPr>
        <w:pStyle w:val="FootnoteText"/>
      </w:pPr>
      <w:r w:rsidRPr="00E54204">
        <w:rPr>
          <w:rStyle w:val="FootnoteReference"/>
        </w:rPr>
        <w:footnoteRef/>
      </w:r>
      <w:r w:rsidRPr="00E54204">
        <w:t xml:space="preserve"> Jacob Howland, </w:t>
      </w:r>
      <w:r w:rsidRPr="00E54204">
        <w:rPr>
          <w:i/>
        </w:rPr>
        <w:t xml:space="preserve">Plato and the Talmud </w:t>
      </w:r>
      <w:r w:rsidRPr="00E54204">
        <w:t>(Cambridge: Cambridge University Press, 2011), 113-114.</w:t>
      </w:r>
    </w:p>
    <w:p w14:paraId="25D64EAB" w14:textId="77777777" w:rsidR="00E54204" w:rsidRPr="00E54204" w:rsidRDefault="00E54204" w:rsidP="00AA1903">
      <w:pPr>
        <w:pStyle w:val="FootnoteText"/>
      </w:pPr>
    </w:p>
  </w:footnote>
  <w:footnote w:id="276">
    <w:p w14:paraId="2994AC39" w14:textId="77777777" w:rsidR="00E54204" w:rsidRPr="00E54204" w:rsidRDefault="00E54204" w:rsidP="00AA1903">
      <w:pPr>
        <w:pStyle w:val="FootnoteText"/>
      </w:pPr>
      <w:r w:rsidRPr="00E54204">
        <w:rPr>
          <w:rStyle w:val="FootnoteReference"/>
        </w:rPr>
        <w:footnoteRef/>
      </w:r>
      <w:r w:rsidRPr="00E54204">
        <w:t xml:space="preserve"> Richard Stoneman, </w:t>
      </w:r>
      <w:r w:rsidRPr="00E54204">
        <w:rPr>
          <w:i/>
        </w:rPr>
        <w:t xml:space="preserve">The Ancient Oracles: Making the Gods Speak </w:t>
      </w:r>
      <w:r w:rsidRPr="00E54204">
        <w:t>(New Haven, CT: Yale University Press, 2011), 11.</w:t>
      </w:r>
    </w:p>
    <w:p w14:paraId="479FBFBA" w14:textId="77777777" w:rsidR="00E54204" w:rsidRPr="00E54204" w:rsidRDefault="00E54204" w:rsidP="00AA1903">
      <w:pPr>
        <w:pStyle w:val="FootnoteText"/>
      </w:pPr>
    </w:p>
  </w:footnote>
  <w:footnote w:id="277">
    <w:p w14:paraId="568B252D" w14:textId="77777777" w:rsidR="00E54204" w:rsidRPr="00E54204" w:rsidRDefault="00E54204" w:rsidP="00AA1903">
      <w:pPr>
        <w:pStyle w:val="FootnoteText"/>
      </w:pPr>
      <w:r w:rsidRPr="00E54204">
        <w:rPr>
          <w:rStyle w:val="FootnoteReference"/>
        </w:rPr>
        <w:footnoteRef/>
      </w:r>
      <w:r w:rsidRPr="00E54204">
        <w:t xml:space="preserve"> See Josephus (</w:t>
      </w:r>
      <w:r w:rsidRPr="00E54204">
        <w:rPr>
          <w:i/>
        </w:rPr>
        <w:t>Antq.</w:t>
      </w:r>
      <w:r w:rsidRPr="00E54204">
        <w:t xml:space="preserve"> XIII 10.3) and  T. </w:t>
      </w:r>
      <w:r w:rsidRPr="00E54204">
        <w:rPr>
          <w:i/>
        </w:rPr>
        <w:t xml:space="preserve">Sotah </w:t>
      </w:r>
      <w:r w:rsidRPr="00E54204">
        <w:t xml:space="preserve">13:5; J. </w:t>
      </w:r>
      <w:r w:rsidRPr="00E54204">
        <w:rPr>
          <w:i/>
        </w:rPr>
        <w:t>Sotah</w:t>
      </w:r>
      <w:r w:rsidRPr="00E54204">
        <w:t xml:space="preserve"> 24b; B. </w:t>
      </w:r>
      <w:r w:rsidRPr="00E54204">
        <w:rPr>
          <w:i/>
        </w:rPr>
        <w:t xml:space="preserve">Sotah </w:t>
      </w:r>
      <w:r w:rsidRPr="00E54204">
        <w:t xml:space="preserve">33a.  </w:t>
      </w:r>
    </w:p>
    <w:p w14:paraId="331E0AB0" w14:textId="77777777" w:rsidR="00E54204" w:rsidRPr="00E54204" w:rsidRDefault="00E54204" w:rsidP="00AA1903">
      <w:pPr>
        <w:pStyle w:val="FootnoteText"/>
      </w:pPr>
    </w:p>
  </w:footnote>
  <w:footnote w:id="278">
    <w:p w14:paraId="228CC586" w14:textId="77777777" w:rsidR="00E54204" w:rsidRPr="00E54204" w:rsidRDefault="00E54204" w:rsidP="00AA1903">
      <w:pPr>
        <w:pStyle w:val="FootnoteText"/>
      </w:pPr>
      <w:r w:rsidRPr="00E54204">
        <w:rPr>
          <w:rStyle w:val="FootnoteReference"/>
        </w:rPr>
        <w:footnoteRef/>
      </w:r>
      <w:r w:rsidRPr="00E54204">
        <w:t xml:space="preserve"> </w:t>
      </w:r>
      <w:r w:rsidRPr="00E54204">
        <w:rPr>
          <w:i/>
        </w:rPr>
        <w:t xml:space="preserve">Ant., </w:t>
      </w:r>
      <w:r w:rsidRPr="00E54204">
        <w:t xml:space="preserve">1, 185, cf. Gen. 15:13; cf. Kittel et al., </w:t>
      </w:r>
      <w:r w:rsidRPr="00E54204">
        <w:rPr>
          <w:i/>
        </w:rPr>
        <w:t>Theological</w:t>
      </w:r>
      <w:r w:rsidRPr="00E54204">
        <w:t>, 290.</w:t>
      </w:r>
    </w:p>
    <w:p w14:paraId="0D827961" w14:textId="77777777" w:rsidR="00E54204" w:rsidRPr="00E54204" w:rsidRDefault="00E54204" w:rsidP="00AA1903">
      <w:pPr>
        <w:pStyle w:val="FootnoteText"/>
      </w:pPr>
    </w:p>
  </w:footnote>
  <w:footnote w:id="279">
    <w:p w14:paraId="61772D97" w14:textId="77777777" w:rsidR="00E54204" w:rsidRPr="00E54204" w:rsidRDefault="00E54204" w:rsidP="00AA1903">
      <w:pPr>
        <w:pStyle w:val="FootnoteText"/>
      </w:pPr>
      <w:r w:rsidRPr="00E54204">
        <w:rPr>
          <w:rStyle w:val="FootnoteReference"/>
        </w:rPr>
        <w:footnoteRef/>
      </w:r>
      <w:r w:rsidRPr="00E54204">
        <w:t xml:space="preserve"> </w:t>
      </w:r>
      <w:r w:rsidRPr="00E54204">
        <w:rPr>
          <w:i/>
        </w:rPr>
        <w:t>Ant.,</w:t>
      </w:r>
      <w:r w:rsidRPr="00E54204">
        <w:t xml:space="preserve"> 2, 267; cf. Kittel et al., </w:t>
      </w:r>
      <w:r w:rsidRPr="00E54204">
        <w:rPr>
          <w:i/>
        </w:rPr>
        <w:t>Theological</w:t>
      </w:r>
      <w:r w:rsidRPr="00E54204">
        <w:t>,</w:t>
      </w:r>
      <w:r w:rsidRPr="00E54204">
        <w:rPr>
          <w:i/>
        </w:rPr>
        <w:t xml:space="preserve"> </w:t>
      </w:r>
      <w:r w:rsidRPr="00E54204">
        <w:t>290.</w:t>
      </w:r>
    </w:p>
    <w:p w14:paraId="341CF244" w14:textId="77777777" w:rsidR="00E54204" w:rsidRPr="00E54204" w:rsidRDefault="00E54204" w:rsidP="00AA1903">
      <w:pPr>
        <w:pStyle w:val="FootnoteText"/>
      </w:pPr>
    </w:p>
  </w:footnote>
  <w:footnote w:id="280">
    <w:p w14:paraId="5586F092" w14:textId="77777777" w:rsidR="00E54204" w:rsidRPr="00E54204" w:rsidRDefault="00E54204" w:rsidP="00AA1903">
      <w:pPr>
        <w:pStyle w:val="FootnoteText"/>
      </w:pPr>
      <w:r w:rsidRPr="00E54204">
        <w:rPr>
          <w:rStyle w:val="FootnoteReference"/>
        </w:rPr>
        <w:footnoteRef/>
      </w:r>
      <w:r w:rsidRPr="00E54204">
        <w:t xml:space="preserve"> Kittel et al., </w:t>
      </w:r>
      <w:r w:rsidRPr="00E54204">
        <w:rPr>
          <w:i/>
        </w:rPr>
        <w:t>Theological</w:t>
      </w:r>
      <w:r w:rsidRPr="00E54204">
        <w:t>, 291.</w:t>
      </w:r>
    </w:p>
    <w:p w14:paraId="34C7F106" w14:textId="77777777" w:rsidR="00E54204" w:rsidRPr="00E54204" w:rsidRDefault="00E54204" w:rsidP="00AA1903">
      <w:pPr>
        <w:pStyle w:val="FootnoteText"/>
      </w:pPr>
    </w:p>
  </w:footnote>
  <w:footnote w:id="281">
    <w:p w14:paraId="757640CD" w14:textId="77777777" w:rsidR="00E54204" w:rsidRPr="00E54204" w:rsidRDefault="00E54204" w:rsidP="00AA1903">
      <w:pPr>
        <w:pStyle w:val="FootnoteText"/>
      </w:pPr>
      <w:r w:rsidRPr="00E54204">
        <w:rPr>
          <w:rStyle w:val="FootnoteReference"/>
        </w:rPr>
        <w:footnoteRef/>
      </w:r>
      <w:r w:rsidRPr="00E54204">
        <w:t xml:space="preserve"> As recounted by Josephus, </w:t>
      </w:r>
      <w:r w:rsidRPr="00E54204">
        <w:rPr>
          <w:i/>
        </w:rPr>
        <w:t xml:space="preserve">War </w:t>
      </w:r>
      <w:r w:rsidRPr="00E54204">
        <w:t xml:space="preserve">6:300-309. Geza Vermes likened this oracle to the one pronounced by Jeremiah (cf. Jeremiah 7).  Cf. Geza Vermes, </w:t>
      </w:r>
      <w:r w:rsidRPr="00E54204">
        <w:rPr>
          <w:i/>
        </w:rPr>
        <w:t>Who’s Who in the Age of Jesus</w:t>
      </w:r>
      <w:r w:rsidRPr="00E54204">
        <w:t>, (London: Penguin Books, 2006), “Jesus son of Ananias.”</w:t>
      </w:r>
    </w:p>
    <w:p w14:paraId="54A0FF91" w14:textId="77777777" w:rsidR="00E54204" w:rsidRPr="00E54204" w:rsidRDefault="00E54204" w:rsidP="00AA1903">
      <w:pPr>
        <w:pStyle w:val="FootnoteText"/>
      </w:pPr>
    </w:p>
  </w:footnote>
  <w:footnote w:id="282">
    <w:p w14:paraId="3F794AB2" w14:textId="77777777" w:rsidR="00E54204" w:rsidRPr="00E54204" w:rsidRDefault="00E54204" w:rsidP="00AA1903">
      <w:pPr>
        <w:pStyle w:val="FootnoteText"/>
      </w:pPr>
      <w:r w:rsidRPr="00E54204">
        <w:rPr>
          <w:rStyle w:val="FootnoteReference"/>
        </w:rPr>
        <w:footnoteRef/>
      </w:r>
      <w:r w:rsidRPr="00E54204">
        <w:t xml:space="preserve"> Louis Feldman considers the concept of a Jewish prophetess, a Sibyl foretelling the doom of an empire (i.e. Rome), to have been adopted by the Jews in the second century BCE in Egypt, from the pagan Sibylline Oracles; cf. Louis Feldman and Meyer Reinhold, </w:t>
      </w:r>
      <w:r w:rsidRPr="00E54204">
        <w:rPr>
          <w:i/>
        </w:rPr>
        <w:t>Jewish Life and Thought Among the Greek and the Romans: Primary Readings</w:t>
      </w:r>
      <w:r w:rsidRPr="00E54204">
        <w:t>, (Minneapolis: Fortress Press, 1996), 181.</w:t>
      </w:r>
    </w:p>
    <w:p w14:paraId="2B337385" w14:textId="77777777" w:rsidR="00E54204" w:rsidRPr="00E54204" w:rsidRDefault="00E54204" w:rsidP="00AA1903">
      <w:pPr>
        <w:pStyle w:val="FootnoteText"/>
      </w:pPr>
    </w:p>
  </w:footnote>
  <w:footnote w:id="283">
    <w:p w14:paraId="6FE37B86" w14:textId="77777777" w:rsidR="00E54204" w:rsidRPr="00E54204" w:rsidRDefault="00E54204">
      <w:pPr>
        <w:pStyle w:val="FootnoteText"/>
      </w:pPr>
      <w:r w:rsidRPr="00E54204">
        <w:rPr>
          <w:rStyle w:val="FootnoteReference"/>
        </w:rPr>
        <w:footnoteRef/>
      </w:r>
      <w:r w:rsidRPr="00E54204">
        <w:t xml:space="preserve"> Whether or not apocalyptic writings originated in prophecy or wisdom literature remains debated.</w:t>
      </w:r>
    </w:p>
    <w:p w14:paraId="0506A517" w14:textId="77777777" w:rsidR="00E54204" w:rsidRPr="00E54204" w:rsidRDefault="00E54204">
      <w:pPr>
        <w:pStyle w:val="FootnoteText"/>
      </w:pPr>
    </w:p>
  </w:footnote>
  <w:footnote w:id="284">
    <w:p w14:paraId="6AF81BED" w14:textId="77777777" w:rsidR="00E54204" w:rsidRPr="00E54204" w:rsidRDefault="00E54204" w:rsidP="00AA1903">
      <w:pPr>
        <w:pStyle w:val="FootnoteText"/>
      </w:pPr>
      <w:r w:rsidRPr="00E54204">
        <w:rPr>
          <w:rStyle w:val="FootnoteReference"/>
        </w:rPr>
        <w:footnoteRef/>
      </w:r>
      <w:r w:rsidRPr="00E54204">
        <w:t xml:space="preserve"> Kittel et al., </w:t>
      </w:r>
      <w:r w:rsidRPr="00E54204">
        <w:rPr>
          <w:i/>
        </w:rPr>
        <w:t>Theological</w:t>
      </w:r>
      <w:r w:rsidRPr="00E54204">
        <w:t>, 286.</w:t>
      </w:r>
    </w:p>
    <w:p w14:paraId="4B543242" w14:textId="77777777" w:rsidR="00E54204" w:rsidRPr="00E54204" w:rsidRDefault="00E54204" w:rsidP="00AA1903">
      <w:pPr>
        <w:pStyle w:val="FootnoteText"/>
      </w:pPr>
    </w:p>
  </w:footnote>
  <w:footnote w:id="285">
    <w:p w14:paraId="7818DBD3" w14:textId="77777777" w:rsidR="00E54204" w:rsidRPr="00E54204" w:rsidRDefault="00E54204" w:rsidP="00ED18D8">
      <w:pPr>
        <w:pStyle w:val="FootnoteText"/>
      </w:pPr>
      <w:r w:rsidRPr="00E54204">
        <w:rPr>
          <w:rStyle w:val="FootnoteReference"/>
        </w:rPr>
        <w:footnoteRef/>
      </w:r>
      <w:r w:rsidRPr="00E54204">
        <w:t xml:space="preserve"> The literature review highlighted S. Louis’s use of categorical types; I am following his model here.  See Society, </w:t>
      </w:r>
      <w:r w:rsidRPr="00E54204">
        <w:rPr>
          <w:i/>
        </w:rPr>
        <w:t>Transactions</w:t>
      </w:r>
      <w:r w:rsidRPr="00E54204">
        <w:t>, 182-194.</w:t>
      </w:r>
    </w:p>
    <w:p w14:paraId="6CB6234A" w14:textId="77777777" w:rsidR="00E54204" w:rsidRPr="00E54204" w:rsidRDefault="00E54204" w:rsidP="00ED18D8">
      <w:pPr>
        <w:pStyle w:val="FootnoteText"/>
        <w:rPr>
          <w:i/>
        </w:rPr>
      </w:pPr>
    </w:p>
  </w:footnote>
  <w:footnote w:id="286">
    <w:p w14:paraId="2274AE9E" w14:textId="77777777" w:rsidR="00E54204" w:rsidRPr="00E54204" w:rsidRDefault="00E54204" w:rsidP="00ED18D8">
      <w:pPr>
        <w:pStyle w:val="FootnoteText"/>
      </w:pPr>
      <w:r w:rsidRPr="00E54204">
        <w:rPr>
          <w:rStyle w:val="FootnoteReference"/>
        </w:rPr>
        <w:footnoteRef/>
      </w:r>
      <w:r w:rsidRPr="00E54204">
        <w:t xml:space="preserve"> As Richard Kalmin noted in his book </w:t>
      </w:r>
      <w:r w:rsidRPr="00E54204">
        <w:rPr>
          <w:i/>
        </w:rPr>
        <w:t>The Sage in Jewish Society of Late Antiquity</w:t>
      </w:r>
      <w:r w:rsidRPr="00E54204">
        <w:t xml:space="preserve">, “Rabbinic interpretations of Scripture were motivated not only by a desire to explicate the Biblical text but also by social, cultural, religious, polemical, and/or apologetic concerns.”  Richard Kalmin, </w:t>
      </w:r>
      <w:r w:rsidRPr="00E54204">
        <w:rPr>
          <w:i/>
        </w:rPr>
        <w:t>The Sage in Jewish Society of Late Antiquity</w:t>
      </w:r>
      <w:r w:rsidRPr="00E54204">
        <w:t xml:space="preserve"> (New York: Routledge, 1999), 15.</w:t>
      </w:r>
    </w:p>
    <w:p w14:paraId="715BAA0E" w14:textId="77777777" w:rsidR="00E54204" w:rsidRPr="00E54204" w:rsidRDefault="00E54204" w:rsidP="00ED18D8">
      <w:pPr>
        <w:pStyle w:val="FootnoteText"/>
      </w:pPr>
    </w:p>
  </w:footnote>
  <w:footnote w:id="287">
    <w:p w14:paraId="6497BFF0" w14:textId="77777777" w:rsidR="00E54204" w:rsidRPr="00E54204" w:rsidRDefault="00E54204" w:rsidP="00230E4C">
      <w:pPr>
        <w:pStyle w:val="FootnoteText"/>
      </w:pPr>
      <w:r w:rsidRPr="00E54204">
        <w:rPr>
          <w:rStyle w:val="FootnoteReference"/>
        </w:rPr>
        <w:footnoteRef/>
      </w:r>
      <w:r w:rsidRPr="00E54204">
        <w:t xml:space="preserve"> The * is indicative of stories that allude to the famous </w:t>
      </w:r>
      <w:r w:rsidRPr="00E54204">
        <w:rPr>
          <w:i/>
        </w:rPr>
        <w:t xml:space="preserve">halakhic </w:t>
      </w:r>
      <w:r w:rsidRPr="00E54204">
        <w:t xml:space="preserve">debate between the schools of Shammai and Hillel; cf. B. </w:t>
      </w:r>
      <w:r w:rsidRPr="00E54204">
        <w:rPr>
          <w:i/>
        </w:rPr>
        <w:t xml:space="preserve">Eruvin </w:t>
      </w:r>
      <w:r w:rsidR="003148B2">
        <w:t xml:space="preserve">13b.  </w:t>
      </w:r>
      <w:r w:rsidRPr="00E54204">
        <w:t xml:space="preserve">Highlighted </w:t>
      </w:r>
      <w:r w:rsidRPr="003148B2">
        <w:rPr>
          <w:highlight w:val="lightGray"/>
        </w:rPr>
        <w:t>text</w:t>
      </w:r>
      <w:r w:rsidRPr="00E54204">
        <w:t xml:space="preserve"> represents stories pertaining</w:t>
      </w:r>
      <w:r w:rsidR="003148B2">
        <w:t xml:space="preserve"> to Biblical times and or characters: 24 stories total</w:t>
      </w:r>
      <w:r w:rsidRPr="00E54204">
        <w:t>.</w:t>
      </w:r>
    </w:p>
  </w:footnote>
  <w:footnote w:id="288">
    <w:p w14:paraId="2CAB46E9" w14:textId="77777777" w:rsidR="00E54204" w:rsidRPr="00E54204" w:rsidRDefault="00E54204" w:rsidP="00ED18D8">
      <w:pPr>
        <w:pStyle w:val="FootnoteText"/>
      </w:pPr>
      <w:r w:rsidRPr="00E54204">
        <w:rPr>
          <w:rStyle w:val="FootnoteReference"/>
        </w:rPr>
        <w:footnoteRef/>
      </w:r>
      <w:r w:rsidRPr="00E54204">
        <w:t xml:space="preserve"> Jacob Neusner, </w:t>
      </w:r>
      <w:r w:rsidRPr="00E54204">
        <w:rPr>
          <w:i/>
        </w:rPr>
        <w:t>The Discourse of the Bavli: Language, Literature, and Symbolism</w:t>
      </w:r>
      <w:r w:rsidRPr="00E54204">
        <w:t xml:space="preserve"> (Atlanta: Scholars Press, 1991), 2.</w:t>
      </w:r>
    </w:p>
    <w:p w14:paraId="41CC21A0" w14:textId="77777777" w:rsidR="00E54204" w:rsidRPr="00E54204" w:rsidRDefault="00E54204" w:rsidP="00ED18D8">
      <w:pPr>
        <w:pStyle w:val="FootnoteText"/>
      </w:pPr>
    </w:p>
    <w:p w14:paraId="4F32CDD1" w14:textId="77777777" w:rsidR="00E54204" w:rsidRPr="00E54204" w:rsidRDefault="00E54204" w:rsidP="00ED18D8">
      <w:pPr>
        <w:pStyle w:val="FootnoteText"/>
      </w:pPr>
    </w:p>
  </w:footnote>
  <w:footnote w:id="289">
    <w:p w14:paraId="6B0EAAD5" w14:textId="77777777" w:rsidR="00E54204" w:rsidRPr="00E54204" w:rsidRDefault="00E54204" w:rsidP="00ED18D8">
      <w:pPr>
        <w:pStyle w:val="FootnoteText"/>
      </w:pPr>
      <w:r w:rsidRPr="00E54204">
        <w:rPr>
          <w:rStyle w:val="FootnoteReference"/>
        </w:rPr>
        <w:footnoteRef/>
      </w:r>
      <w:r w:rsidRPr="00E54204">
        <w:t xml:space="preserve"> </w:t>
      </w:r>
      <w:r w:rsidRPr="00E54204">
        <w:rPr>
          <w:i/>
        </w:rPr>
        <w:t>Tanna</w:t>
      </w:r>
      <w:r w:rsidRPr="00E54204">
        <w:t xml:space="preserve"> is Aramaic for “reciter of traditions;” cf. Schiffman, </w:t>
      </w:r>
      <w:r w:rsidRPr="00E54204">
        <w:rPr>
          <w:i/>
        </w:rPr>
        <w:t>From Text</w:t>
      </w:r>
      <w:r w:rsidRPr="00E54204">
        <w:t xml:space="preserve">, 178.  Schiffman dates them from the Roman conquest of 63 BCE to the final editing of the Mishnah (ca.200 CE); cf. Schiffman, </w:t>
      </w:r>
      <w:r w:rsidRPr="00E54204">
        <w:rPr>
          <w:i/>
        </w:rPr>
        <w:t>From Text</w:t>
      </w:r>
      <w:r w:rsidRPr="00E54204">
        <w:t>, 111.</w:t>
      </w:r>
    </w:p>
    <w:p w14:paraId="2CBC9A67" w14:textId="77777777" w:rsidR="00E54204" w:rsidRPr="00E54204" w:rsidRDefault="00E54204" w:rsidP="00ED18D8">
      <w:pPr>
        <w:pStyle w:val="FootnoteText"/>
      </w:pPr>
    </w:p>
  </w:footnote>
  <w:footnote w:id="290">
    <w:p w14:paraId="5A7C1FFB" w14:textId="77777777" w:rsidR="00E54204" w:rsidRPr="00E54204" w:rsidRDefault="00E54204" w:rsidP="00ED18D8">
      <w:pPr>
        <w:pStyle w:val="FootnoteText"/>
      </w:pPr>
      <w:r w:rsidRPr="00E54204">
        <w:rPr>
          <w:rStyle w:val="FootnoteReference"/>
        </w:rPr>
        <w:footnoteRef/>
      </w:r>
      <w:r w:rsidRPr="00E54204">
        <w:t xml:space="preserve"> “Talmudic sage after the </w:t>
      </w:r>
      <w:r w:rsidRPr="00E54204">
        <w:rPr>
          <w:i/>
        </w:rPr>
        <w:t xml:space="preserve">Tannaitic </w:t>
      </w:r>
      <w:r w:rsidRPr="00E54204">
        <w:t xml:space="preserve">until the final redaction of the Talmud (220-500 CE).  The </w:t>
      </w:r>
      <w:r w:rsidRPr="00E54204">
        <w:rPr>
          <w:i/>
        </w:rPr>
        <w:t xml:space="preserve">Amoraim </w:t>
      </w:r>
      <w:r w:rsidRPr="00E54204">
        <w:t xml:space="preserve">interpreted the statements of the </w:t>
      </w:r>
      <w:r w:rsidRPr="00E54204">
        <w:rPr>
          <w:i/>
        </w:rPr>
        <w:t xml:space="preserve">Tannaim </w:t>
      </w:r>
      <w:r w:rsidRPr="00E54204">
        <w:t xml:space="preserve">and expanded upon them.” Adin Steinsaltz, </w:t>
      </w:r>
      <w:r w:rsidRPr="00E54204">
        <w:rPr>
          <w:i/>
        </w:rPr>
        <w:t>Talmudic Images</w:t>
      </w:r>
      <w:r w:rsidRPr="00E54204">
        <w:t xml:space="preserve"> (Northvale, NJ: Jason Aronson, 1997), 157.</w:t>
      </w:r>
    </w:p>
    <w:p w14:paraId="66E3D3B9" w14:textId="77777777" w:rsidR="00E54204" w:rsidRPr="00E54204" w:rsidRDefault="00E54204" w:rsidP="00ED18D8">
      <w:pPr>
        <w:pStyle w:val="FootnoteText"/>
      </w:pPr>
    </w:p>
  </w:footnote>
  <w:footnote w:id="291">
    <w:p w14:paraId="4D3E3D7E" w14:textId="77777777" w:rsidR="00E54204" w:rsidRPr="00E54204" w:rsidRDefault="00E54204" w:rsidP="00ED18D8">
      <w:pPr>
        <w:pStyle w:val="FootnoteText"/>
      </w:pPr>
      <w:r w:rsidRPr="00E54204">
        <w:rPr>
          <w:rStyle w:val="FootnoteReference"/>
        </w:rPr>
        <w:footnoteRef/>
      </w:r>
      <w:r w:rsidRPr="00E54204">
        <w:t xml:space="preserve"> Menachem Fisch, </w:t>
      </w:r>
      <w:r w:rsidRPr="00E54204">
        <w:rPr>
          <w:i/>
        </w:rPr>
        <w:t xml:space="preserve">Rational Rabbis: Science and Talmudic Culture </w:t>
      </w:r>
      <w:r w:rsidRPr="00E54204">
        <w:t>(Indianapolis: Indiana University Press, 1997), 114.</w:t>
      </w:r>
    </w:p>
    <w:p w14:paraId="67C9EA15" w14:textId="77777777" w:rsidR="00E54204" w:rsidRPr="00E54204" w:rsidRDefault="00E54204" w:rsidP="00ED18D8">
      <w:pPr>
        <w:pStyle w:val="FootnoteText"/>
      </w:pPr>
    </w:p>
  </w:footnote>
  <w:footnote w:id="292">
    <w:p w14:paraId="48260344" w14:textId="77777777" w:rsidR="00E54204" w:rsidRPr="00E54204" w:rsidRDefault="00E54204" w:rsidP="00ED18D8">
      <w:pPr>
        <w:pStyle w:val="FootnoteText"/>
      </w:pPr>
      <w:r w:rsidRPr="00E54204">
        <w:rPr>
          <w:rStyle w:val="FootnoteReference"/>
        </w:rPr>
        <w:footnoteRef/>
      </w:r>
      <w:r w:rsidRPr="00E54204">
        <w:t xml:space="preserve"> There are the five Aramaic references in the Targumim (cf. Targum Jonathan: Num. 21:6, Deut. 28:15, Deut. 34:5; Targum to Song of Songs: 2:14, 4:1), three in the Yerushalmi Talmud (J. </w:t>
      </w:r>
      <w:r w:rsidRPr="00E54204">
        <w:rPr>
          <w:i/>
        </w:rPr>
        <w:t>Peah</w:t>
      </w:r>
      <w:r w:rsidRPr="00E54204">
        <w:t xml:space="preserve"> 4a:1, J. </w:t>
      </w:r>
      <w:r w:rsidRPr="00E54204">
        <w:rPr>
          <w:i/>
        </w:rPr>
        <w:t xml:space="preserve">Shevi’it </w:t>
      </w:r>
      <w:r w:rsidRPr="00E54204">
        <w:t xml:space="preserve">25b; 1, J. </w:t>
      </w:r>
      <w:r w:rsidRPr="00E54204">
        <w:rPr>
          <w:i/>
        </w:rPr>
        <w:t xml:space="preserve">Ketubot </w:t>
      </w:r>
      <w:r w:rsidRPr="00E54204">
        <w:t>65b:1).</w:t>
      </w:r>
    </w:p>
    <w:p w14:paraId="75582729" w14:textId="77777777" w:rsidR="00E54204" w:rsidRPr="00E54204" w:rsidRDefault="00E54204" w:rsidP="00ED18D8">
      <w:pPr>
        <w:pStyle w:val="FootnoteText"/>
      </w:pPr>
    </w:p>
  </w:footnote>
  <w:footnote w:id="293">
    <w:p w14:paraId="51E33978" w14:textId="77777777" w:rsidR="00E54204" w:rsidRPr="00E54204" w:rsidRDefault="00E54204" w:rsidP="00ED18D8">
      <w:pPr>
        <w:pStyle w:val="FootnoteText"/>
      </w:pPr>
      <w:r w:rsidRPr="00E54204">
        <w:rPr>
          <w:rStyle w:val="FootnoteReference"/>
        </w:rPr>
        <w:footnoteRef/>
      </w:r>
      <w:r w:rsidRPr="00E54204">
        <w:t xml:space="preserve"> There are relatively few in the earlier rabbinic sources; Mishnah has four examples and the Tosefta has five, all of which are repeated in the Talmudim.  However, other literature like Midrashim, contain a copious amount of stories depicting a </w:t>
      </w:r>
      <w:r w:rsidRPr="00E54204">
        <w:rPr>
          <w:i/>
        </w:rPr>
        <w:t>bat kol</w:t>
      </w:r>
      <w:r w:rsidRPr="00E54204">
        <w:t>.</w:t>
      </w:r>
    </w:p>
    <w:p w14:paraId="152087E3" w14:textId="77777777" w:rsidR="00E54204" w:rsidRPr="00E54204" w:rsidRDefault="00E54204" w:rsidP="00ED18D8">
      <w:pPr>
        <w:pStyle w:val="FootnoteText"/>
      </w:pPr>
    </w:p>
  </w:footnote>
  <w:footnote w:id="294">
    <w:p w14:paraId="1C09DA65" w14:textId="77777777" w:rsidR="00E54204" w:rsidRPr="00E54204" w:rsidRDefault="00E54204" w:rsidP="00ED18D8">
      <w:pPr>
        <w:pStyle w:val="FootnoteText"/>
      </w:pPr>
      <w:r w:rsidRPr="00E54204">
        <w:rPr>
          <w:rStyle w:val="FootnoteReference"/>
        </w:rPr>
        <w:footnoteRef/>
      </w:r>
      <w:r w:rsidRPr="00E54204">
        <w:t xml:space="preserve"> John Abbott noted that due to the </w:t>
      </w:r>
      <w:r w:rsidRPr="00E54204">
        <w:rPr>
          <w:i/>
        </w:rPr>
        <w:t>bat kol</w:t>
      </w:r>
      <w:r w:rsidRPr="00E54204">
        <w:t>’s</w:t>
      </w:r>
      <w:r w:rsidRPr="00E54204">
        <w:rPr>
          <w:i/>
        </w:rPr>
        <w:t xml:space="preserve"> </w:t>
      </w:r>
      <w:r w:rsidRPr="00E54204">
        <w:t xml:space="preserve">appearance in the Mishnah [Yev. 16:6] permitting a woman to remarry on the basis that a disembodied voice declared “so-and-so” to be dead, “almost force us to believe that in some parts of Jewish Palestine there must have been a gross superstition about oracular voices from an unseen source, and that these were actually allowed to have the force of Law in special instances.”  John Abbott, </w:t>
      </w:r>
      <w:r w:rsidRPr="00E54204">
        <w:rPr>
          <w:bCs/>
          <w:i/>
          <w:iCs/>
        </w:rPr>
        <w:t>From Letter to Spirit; an Attempt to Reach through Varying Voices the Abiding Word,</w:t>
      </w:r>
      <w:r w:rsidRPr="00E54204">
        <w:rPr>
          <w:bCs/>
          <w:iCs/>
        </w:rPr>
        <w:t xml:space="preserve"> (London: A. and C. Black, 1903), </w:t>
      </w:r>
      <w:r w:rsidRPr="00E54204">
        <w:t>154.</w:t>
      </w:r>
    </w:p>
    <w:p w14:paraId="410C20BE" w14:textId="77777777" w:rsidR="00E54204" w:rsidRPr="00E54204" w:rsidRDefault="00E54204" w:rsidP="00ED18D8">
      <w:pPr>
        <w:pStyle w:val="FootnoteText"/>
        <w:rPr>
          <w:bCs/>
          <w:i/>
          <w:iCs/>
        </w:rPr>
      </w:pPr>
    </w:p>
  </w:footnote>
  <w:footnote w:id="295">
    <w:p w14:paraId="095100E1" w14:textId="77777777" w:rsidR="00E54204" w:rsidRPr="00E54204" w:rsidRDefault="00E54204" w:rsidP="00ED18D8">
      <w:pPr>
        <w:pStyle w:val="FootnoteText"/>
      </w:pPr>
      <w:r w:rsidRPr="00E54204">
        <w:rPr>
          <w:rStyle w:val="FootnoteReference"/>
        </w:rPr>
        <w:footnoteRef/>
      </w:r>
      <w:r w:rsidRPr="00E54204">
        <w:t xml:space="preserve"> It was not edited in Jerusalem as one may be lead to think but in the cities of Tiberias, Zippori, and Caesarea, including some Babylonian </w:t>
      </w:r>
      <w:r w:rsidRPr="00E54204">
        <w:rPr>
          <w:i/>
        </w:rPr>
        <w:t>Amoraim</w:t>
      </w:r>
      <w:r w:rsidRPr="00E54204">
        <w:t xml:space="preserve">.  Steinsaltz, </w:t>
      </w:r>
      <w:r w:rsidRPr="00E54204">
        <w:rPr>
          <w:i/>
        </w:rPr>
        <w:t>Talmudic Images</w:t>
      </w:r>
      <w:r w:rsidRPr="00E54204">
        <w:t>, 164.</w:t>
      </w:r>
    </w:p>
    <w:p w14:paraId="039B61C7" w14:textId="77777777" w:rsidR="00E54204" w:rsidRPr="00E54204" w:rsidRDefault="00E54204" w:rsidP="00ED18D8">
      <w:pPr>
        <w:pStyle w:val="FootnoteText"/>
      </w:pPr>
    </w:p>
  </w:footnote>
  <w:footnote w:id="296">
    <w:p w14:paraId="7B02BEF2" w14:textId="77777777" w:rsidR="00E54204" w:rsidRPr="00E54204" w:rsidRDefault="00E54204">
      <w:pPr>
        <w:pStyle w:val="FootnoteText"/>
      </w:pPr>
      <w:r w:rsidRPr="00E54204">
        <w:rPr>
          <w:rStyle w:val="FootnoteReference"/>
        </w:rPr>
        <w:footnoteRef/>
      </w:r>
      <w:r w:rsidRPr="00E54204">
        <w:t xml:space="preserve"> Adin Steinsaltz, </w:t>
      </w:r>
      <w:r w:rsidRPr="00E54204">
        <w:rPr>
          <w:i/>
        </w:rPr>
        <w:t>The Essential Talmud</w:t>
      </w:r>
      <w:r w:rsidRPr="00E54204">
        <w:t xml:space="preserve"> (New York: Basic Books, 2006), 11-12.</w:t>
      </w:r>
    </w:p>
    <w:p w14:paraId="336437D6" w14:textId="77777777" w:rsidR="00E54204" w:rsidRPr="00E54204" w:rsidRDefault="00E54204">
      <w:pPr>
        <w:pStyle w:val="FootnoteText"/>
      </w:pPr>
    </w:p>
  </w:footnote>
  <w:footnote w:id="297">
    <w:p w14:paraId="26BED234" w14:textId="77777777" w:rsidR="00E54204" w:rsidRPr="00E54204" w:rsidRDefault="00E54204">
      <w:pPr>
        <w:pStyle w:val="FootnoteText"/>
      </w:pPr>
      <w:r w:rsidRPr="00E54204">
        <w:rPr>
          <w:rStyle w:val="FootnoteReference"/>
        </w:rPr>
        <w:footnoteRef/>
      </w:r>
      <w:r w:rsidRPr="00E54204">
        <w:t xml:space="preserve"> Barry W. Holtz, ed., </w:t>
      </w:r>
      <w:r w:rsidRPr="00E54204">
        <w:rPr>
          <w:i/>
        </w:rPr>
        <w:t xml:space="preserve">Back to the Sources: Reading the Classic Jewish Texts </w:t>
      </w:r>
      <w:r w:rsidRPr="00E54204">
        <w:t>(New York: Summit Books, 1984). 136.</w:t>
      </w:r>
    </w:p>
    <w:p w14:paraId="0192D6FB" w14:textId="77777777" w:rsidR="00E54204" w:rsidRPr="00E54204" w:rsidRDefault="00E54204">
      <w:pPr>
        <w:pStyle w:val="FootnoteText"/>
      </w:pPr>
      <w:r w:rsidRPr="00E54204">
        <w:t xml:space="preserve">  </w:t>
      </w:r>
    </w:p>
  </w:footnote>
  <w:footnote w:id="298">
    <w:p w14:paraId="794E1699" w14:textId="77777777" w:rsidR="00E54204" w:rsidRPr="00E54204" w:rsidRDefault="00E54204">
      <w:pPr>
        <w:pStyle w:val="FootnoteText"/>
      </w:pPr>
      <w:r w:rsidRPr="00E54204">
        <w:rPr>
          <w:rStyle w:val="FootnoteReference"/>
        </w:rPr>
        <w:footnoteRef/>
      </w:r>
      <w:r w:rsidRPr="00E54204">
        <w:t xml:space="preserve"> Steinsaltz, </w:t>
      </w:r>
      <w:r w:rsidRPr="00E54204">
        <w:rPr>
          <w:i/>
        </w:rPr>
        <w:t>The Essential</w:t>
      </w:r>
      <w:r w:rsidRPr="00E54204">
        <w:t>, 77.</w:t>
      </w:r>
    </w:p>
    <w:p w14:paraId="43C5ED5C" w14:textId="77777777" w:rsidR="00E54204" w:rsidRPr="00E54204" w:rsidRDefault="00E54204">
      <w:pPr>
        <w:pStyle w:val="FootnoteText"/>
      </w:pPr>
      <w:r w:rsidRPr="00E54204">
        <w:t xml:space="preserve"> </w:t>
      </w:r>
    </w:p>
  </w:footnote>
  <w:footnote w:id="299">
    <w:p w14:paraId="1B2FB884" w14:textId="77777777" w:rsidR="00E54204" w:rsidRPr="00E54204" w:rsidRDefault="00E54204" w:rsidP="00ED18D8">
      <w:pPr>
        <w:pStyle w:val="FootnoteText"/>
      </w:pPr>
      <w:r w:rsidRPr="00E54204">
        <w:rPr>
          <w:rStyle w:val="FootnoteReference"/>
        </w:rPr>
        <w:footnoteRef/>
      </w:r>
      <w:r w:rsidRPr="00E54204">
        <w:t xml:space="preserve"> Steinsaltz describes it as the, “first and most fundamental collection of </w:t>
      </w:r>
      <w:r w:rsidRPr="00E54204">
        <w:rPr>
          <w:i/>
        </w:rPr>
        <w:t>halakha</w:t>
      </w:r>
      <w:r w:rsidRPr="00E54204">
        <w:t xml:space="preserve"> of the Oral Torah;” cf. Steinsaltz, </w:t>
      </w:r>
      <w:r w:rsidRPr="00E54204">
        <w:rPr>
          <w:i/>
        </w:rPr>
        <w:t>Talmudic Images</w:t>
      </w:r>
      <w:r w:rsidRPr="00E54204">
        <w:t>, 160.</w:t>
      </w:r>
    </w:p>
    <w:p w14:paraId="10C66E7B" w14:textId="77777777" w:rsidR="00E54204" w:rsidRPr="00E54204" w:rsidRDefault="00E54204" w:rsidP="00ED18D8">
      <w:pPr>
        <w:pStyle w:val="FootnoteText"/>
      </w:pPr>
    </w:p>
  </w:footnote>
  <w:footnote w:id="300">
    <w:p w14:paraId="278925F3" w14:textId="77777777" w:rsidR="00E54204" w:rsidRPr="00E54204" w:rsidRDefault="00E54204" w:rsidP="00ED18D8">
      <w:pPr>
        <w:pStyle w:val="FootnoteText"/>
      </w:pPr>
      <w:r w:rsidRPr="00E54204">
        <w:rPr>
          <w:rStyle w:val="FootnoteReference"/>
        </w:rPr>
        <w:footnoteRef/>
      </w:r>
      <w:r w:rsidRPr="00E54204">
        <w:t xml:space="preserve"> The Palestinian Talmud only contains thirty-nine of the sixty-three tractates of the Mishnah.  Schiffman, </w:t>
      </w:r>
      <w:r w:rsidRPr="00E54204">
        <w:rPr>
          <w:i/>
        </w:rPr>
        <w:t>From Text</w:t>
      </w:r>
      <w:r w:rsidRPr="00E54204">
        <w:t xml:space="preserve">, 227. </w:t>
      </w:r>
    </w:p>
    <w:p w14:paraId="538196C5" w14:textId="77777777" w:rsidR="00E54204" w:rsidRPr="00E54204" w:rsidRDefault="00E54204" w:rsidP="00ED18D8">
      <w:pPr>
        <w:pStyle w:val="FootnoteText"/>
      </w:pPr>
    </w:p>
  </w:footnote>
  <w:footnote w:id="301">
    <w:p w14:paraId="2D81E5F3" w14:textId="77777777" w:rsidR="00E54204" w:rsidRPr="00E54204" w:rsidRDefault="00E54204" w:rsidP="00ED18D8">
      <w:pPr>
        <w:pStyle w:val="FootnoteText"/>
      </w:pPr>
      <w:r w:rsidRPr="00E54204">
        <w:rPr>
          <w:rStyle w:val="FootnoteReference"/>
        </w:rPr>
        <w:footnoteRef/>
      </w:r>
      <w:r w:rsidRPr="00E54204">
        <w:t xml:space="preserve"> Steinsaltz, </w:t>
      </w:r>
      <w:r w:rsidRPr="00E54204">
        <w:rPr>
          <w:i/>
        </w:rPr>
        <w:t>The Essential</w:t>
      </w:r>
      <w:r w:rsidRPr="00E54204">
        <w:t>, 65.</w:t>
      </w:r>
    </w:p>
    <w:p w14:paraId="6B5F61B5" w14:textId="77777777" w:rsidR="00E54204" w:rsidRPr="00E54204" w:rsidRDefault="00E54204" w:rsidP="00ED18D8">
      <w:pPr>
        <w:pStyle w:val="FootnoteText"/>
      </w:pPr>
    </w:p>
  </w:footnote>
  <w:footnote w:id="302">
    <w:p w14:paraId="45345311" w14:textId="77777777" w:rsidR="00E54204" w:rsidRPr="00E54204" w:rsidRDefault="00E54204" w:rsidP="00ED18D8">
      <w:pPr>
        <w:pStyle w:val="FootnoteText"/>
      </w:pPr>
      <w:r w:rsidRPr="00E54204">
        <w:rPr>
          <w:rStyle w:val="FootnoteReference"/>
        </w:rPr>
        <w:footnoteRef/>
      </w:r>
      <w:r w:rsidRPr="00E54204">
        <w:t xml:space="preserve"> Steinsaltz, </w:t>
      </w:r>
      <w:r w:rsidRPr="00E54204">
        <w:rPr>
          <w:i/>
        </w:rPr>
        <w:t>The Essential</w:t>
      </w:r>
      <w:r w:rsidRPr="00E54204">
        <w:t>, 3.</w:t>
      </w:r>
    </w:p>
    <w:p w14:paraId="036385D3" w14:textId="77777777" w:rsidR="00E54204" w:rsidRPr="00E54204" w:rsidRDefault="00E54204" w:rsidP="00ED18D8">
      <w:pPr>
        <w:pStyle w:val="FootnoteText"/>
      </w:pPr>
    </w:p>
  </w:footnote>
  <w:footnote w:id="303">
    <w:p w14:paraId="1C11B08B" w14:textId="77777777" w:rsidR="00E54204" w:rsidRPr="00E54204" w:rsidRDefault="00E54204" w:rsidP="00ED18D8">
      <w:pPr>
        <w:pStyle w:val="FootnoteText"/>
      </w:pPr>
      <w:r w:rsidRPr="00E54204">
        <w:rPr>
          <w:rStyle w:val="FootnoteReference"/>
        </w:rPr>
        <w:footnoteRef/>
      </w:r>
      <w:r w:rsidRPr="00E54204">
        <w:t xml:space="preserve"> In 226 CE the Parthian kingdom was conquered by the Sassanids.  Steinsaltz, </w:t>
      </w:r>
      <w:r w:rsidRPr="00E54204">
        <w:rPr>
          <w:i/>
        </w:rPr>
        <w:t>The Essential</w:t>
      </w:r>
      <w:r w:rsidRPr="00E54204">
        <w:t>, 12.</w:t>
      </w:r>
    </w:p>
    <w:p w14:paraId="6DAE8382" w14:textId="77777777" w:rsidR="00E54204" w:rsidRPr="00E54204" w:rsidRDefault="00E54204" w:rsidP="00ED18D8">
      <w:pPr>
        <w:pStyle w:val="FootnoteText"/>
      </w:pPr>
    </w:p>
  </w:footnote>
  <w:footnote w:id="304">
    <w:p w14:paraId="5AF80936" w14:textId="77777777" w:rsidR="00E54204" w:rsidRPr="00E54204" w:rsidRDefault="00E54204" w:rsidP="00ED18D8">
      <w:pPr>
        <w:pStyle w:val="FootnoteText"/>
      </w:pPr>
      <w:r w:rsidRPr="00E54204">
        <w:rPr>
          <w:rStyle w:val="FootnoteReference"/>
        </w:rPr>
        <w:footnoteRef/>
      </w:r>
      <w:r w:rsidRPr="00E54204">
        <w:t xml:space="preserve"> Kalmin, </w:t>
      </w:r>
      <w:r w:rsidRPr="00E54204">
        <w:rPr>
          <w:i/>
        </w:rPr>
        <w:t>Sages</w:t>
      </w:r>
      <w:r w:rsidRPr="00E54204">
        <w:t>, xiii.</w:t>
      </w:r>
    </w:p>
    <w:p w14:paraId="78864789" w14:textId="77777777" w:rsidR="00E54204" w:rsidRPr="00E54204" w:rsidRDefault="00E54204" w:rsidP="00ED18D8">
      <w:pPr>
        <w:pStyle w:val="FootnoteText"/>
      </w:pPr>
    </w:p>
  </w:footnote>
  <w:footnote w:id="305">
    <w:p w14:paraId="52735AB0" w14:textId="77777777" w:rsidR="00E54204" w:rsidRPr="00E54204" w:rsidRDefault="00E54204" w:rsidP="00ED18D8">
      <w:pPr>
        <w:pStyle w:val="FootnoteText"/>
      </w:pPr>
      <w:r w:rsidRPr="00E54204">
        <w:rPr>
          <w:rStyle w:val="FootnoteReference"/>
        </w:rPr>
        <w:footnoteRef/>
      </w:r>
      <w:r w:rsidRPr="00E54204">
        <w:t xml:space="preserve"> In this regard I liken the nature of this study to the manner Catherine Hezser described the approach of Arnold Goldberg in his work, </w:t>
      </w:r>
      <w:r w:rsidRPr="00E54204">
        <w:rPr>
          <w:i/>
        </w:rPr>
        <w:t>Rabbinische Texte als Gegenstand der Auslegung</w:t>
      </w:r>
      <w:r w:rsidRPr="00E54204">
        <w:t xml:space="preserve">, as “phenomenological-descriptive.”  Cf.  Reimund Beiringer,ed., et al., </w:t>
      </w:r>
      <w:r w:rsidRPr="00E54204">
        <w:rPr>
          <w:i/>
        </w:rPr>
        <w:t>The New Testament and Rabbinic Literature</w:t>
      </w:r>
      <w:r w:rsidRPr="00E54204">
        <w:t xml:space="preserve"> (Leiden: Brill, 2010), 97.</w:t>
      </w:r>
    </w:p>
    <w:p w14:paraId="2E6AFEF6" w14:textId="77777777" w:rsidR="00E54204" w:rsidRPr="00E54204" w:rsidRDefault="00E54204" w:rsidP="00ED18D8">
      <w:pPr>
        <w:pStyle w:val="FootnoteText"/>
      </w:pPr>
    </w:p>
  </w:footnote>
  <w:footnote w:id="306">
    <w:p w14:paraId="59C3E1DB" w14:textId="77777777" w:rsidR="00E54204" w:rsidRPr="00E54204" w:rsidRDefault="00E54204" w:rsidP="00ED18D8">
      <w:pPr>
        <w:pStyle w:val="FootnoteText"/>
      </w:pPr>
      <w:r w:rsidRPr="00E54204">
        <w:rPr>
          <w:rStyle w:val="FootnoteReference"/>
        </w:rPr>
        <w:footnoteRef/>
      </w:r>
      <w:r w:rsidRPr="00E54204">
        <w:t xml:space="preserve"> Beiringer, ed., et al., </w:t>
      </w:r>
      <w:r w:rsidRPr="00E54204">
        <w:rPr>
          <w:i/>
        </w:rPr>
        <w:t>The New Testament</w:t>
      </w:r>
      <w:r w:rsidRPr="00E54204">
        <w:t>, 100.</w:t>
      </w:r>
    </w:p>
    <w:p w14:paraId="4ABC7B21" w14:textId="77777777" w:rsidR="00E54204" w:rsidRPr="00E54204" w:rsidRDefault="00E54204" w:rsidP="00ED18D8">
      <w:pPr>
        <w:pStyle w:val="FootnoteText"/>
      </w:pPr>
    </w:p>
  </w:footnote>
  <w:footnote w:id="307">
    <w:p w14:paraId="3BCC8265" w14:textId="77777777" w:rsidR="00E54204" w:rsidRPr="00E54204" w:rsidRDefault="00E54204" w:rsidP="00ED18D8">
      <w:pPr>
        <w:pStyle w:val="FootnoteText"/>
        <w:rPr>
          <w:bCs/>
        </w:rPr>
      </w:pPr>
      <w:r w:rsidRPr="00E54204">
        <w:rPr>
          <w:rStyle w:val="FootnoteReference"/>
        </w:rPr>
        <w:footnoteRef/>
      </w:r>
      <w:r w:rsidRPr="00E54204">
        <w:t xml:space="preserve"> Joseph Heinemann writes from about after the conquest of Alexander the Great to at least until the Arab conquest of Jewish Palestine.  </w:t>
      </w:r>
      <w:r w:rsidRPr="00E54204">
        <w:rPr>
          <w:bCs/>
        </w:rPr>
        <w:t>Geoffrey H. Hartman and Sanford Budick, eds., </w:t>
      </w:r>
      <w:r w:rsidRPr="00E54204">
        <w:rPr>
          <w:bCs/>
          <w:i/>
          <w:iCs/>
        </w:rPr>
        <w:t>Midrash and Literature</w:t>
      </w:r>
      <w:r w:rsidRPr="00E54204">
        <w:rPr>
          <w:bCs/>
        </w:rPr>
        <w:t xml:space="preserve"> (New Haven, CT: Yale University Press, 1986), 42.</w:t>
      </w:r>
    </w:p>
    <w:p w14:paraId="2FB33BA0" w14:textId="77777777" w:rsidR="00E54204" w:rsidRPr="00E54204" w:rsidRDefault="00E54204" w:rsidP="00ED18D8">
      <w:pPr>
        <w:pStyle w:val="FootnoteText"/>
      </w:pPr>
    </w:p>
  </w:footnote>
  <w:footnote w:id="308">
    <w:p w14:paraId="0A03484A" w14:textId="77777777" w:rsidR="00E54204" w:rsidRPr="00E54204" w:rsidRDefault="00E54204" w:rsidP="00ED18D8">
      <w:pPr>
        <w:pStyle w:val="FootnoteText"/>
      </w:pPr>
      <w:r w:rsidRPr="00E54204">
        <w:rPr>
          <w:rStyle w:val="FootnoteReference"/>
        </w:rPr>
        <w:footnoteRef/>
      </w:r>
      <w:r w:rsidRPr="00E54204">
        <w:t xml:space="preserve"> Hartman and Budick, </w:t>
      </w:r>
      <w:r w:rsidRPr="00E54204">
        <w:rPr>
          <w:i/>
        </w:rPr>
        <w:t>Midrash</w:t>
      </w:r>
      <w:r w:rsidRPr="00E54204">
        <w:t>, 43.</w:t>
      </w:r>
    </w:p>
    <w:p w14:paraId="3AF8E639" w14:textId="77777777" w:rsidR="00E54204" w:rsidRPr="00E54204" w:rsidRDefault="00E54204" w:rsidP="00ED18D8">
      <w:pPr>
        <w:pStyle w:val="FootnoteText"/>
      </w:pPr>
    </w:p>
  </w:footnote>
  <w:footnote w:id="309">
    <w:p w14:paraId="79A4DA0B" w14:textId="77777777" w:rsidR="00E54204" w:rsidRPr="00E54204" w:rsidRDefault="00E54204" w:rsidP="00ED18D8">
      <w:pPr>
        <w:pStyle w:val="FootnoteText"/>
        <w:rPr>
          <w:bCs/>
        </w:rPr>
      </w:pPr>
      <w:r w:rsidRPr="00E54204">
        <w:rPr>
          <w:rStyle w:val="FootnoteReference"/>
        </w:rPr>
        <w:footnoteRef/>
      </w:r>
      <w:r w:rsidRPr="00E54204">
        <w:t xml:space="preserve"> See Joseph Heinemann’s article “The Nature of the Aggadah” in </w:t>
      </w:r>
      <w:r w:rsidRPr="00E54204">
        <w:rPr>
          <w:bCs/>
        </w:rPr>
        <w:t>Geoffrey H. Hartman and Sanford Budick, eds., </w:t>
      </w:r>
      <w:r w:rsidRPr="00E54204">
        <w:rPr>
          <w:bCs/>
          <w:i/>
          <w:iCs/>
        </w:rPr>
        <w:t>Midrash and Literature</w:t>
      </w:r>
      <w:r w:rsidRPr="00E54204">
        <w:rPr>
          <w:bCs/>
        </w:rPr>
        <w:t xml:space="preserve"> (New Haven, CT: Yale University Press, 1986), 41.</w:t>
      </w:r>
    </w:p>
    <w:p w14:paraId="444DC0D2" w14:textId="77777777" w:rsidR="00E54204" w:rsidRPr="00E54204" w:rsidRDefault="00E54204" w:rsidP="00ED18D8">
      <w:pPr>
        <w:pStyle w:val="FootnoteText"/>
        <w:rPr>
          <w:bCs/>
        </w:rPr>
      </w:pPr>
    </w:p>
  </w:footnote>
  <w:footnote w:id="310">
    <w:p w14:paraId="75EB169F" w14:textId="77777777" w:rsidR="00E54204" w:rsidRPr="00E54204" w:rsidRDefault="00E54204" w:rsidP="00ED18D8">
      <w:pPr>
        <w:pStyle w:val="FootnoteText"/>
      </w:pPr>
      <w:r w:rsidRPr="00E54204">
        <w:rPr>
          <w:rStyle w:val="FootnoteReference"/>
        </w:rPr>
        <w:footnoteRef/>
      </w:r>
      <w:r w:rsidRPr="00E54204">
        <w:t xml:space="preserve"> Hartman and Budick, </w:t>
      </w:r>
      <w:r w:rsidRPr="00E54204">
        <w:rPr>
          <w:i/>
        </w:rPr>
        <w:t>Midrash</w:t>
      </w:r>
      <w:r w:rsidRPr="00E54204">
        <w:t>, 47.</w:t>
      </w:r>
    </w:p>
    <w:p w14:paraId="56CFC5E6" w14:textId="77777777" w:rsidR="00E54204" w:rsidRPr="00E54204" w:rsidRDefault="00E54204" w:rsidP="00ED18D8">
      <w:pPr>
        <w:pStyle w:val="FootnoteText"/>
      </w:pPr>
    </w:p>
  </w:footnote>
  <w:footnote w:id="311">
    <w:p w14:paraId="7BE7F75F" w14:textId="77777777" w:rsidR="00E54204" w:rsidRPr="00E54204" w:rsidRDefault="00E54204" w:rsidP="00ED18D8">
      <w:pPr>
        <w:pStyle w:val="FootnoteText"/>
      </w:pPr>
      <w:r w:rsidRPr="00E54204">
        <w:rPr>
          <w:rStyle w:val="FootnoteReference"/>
        </w:rPr>
        <w:footnoteRef/>
      </w:r>
      <w:r w:rsidRPr="00E54204">
        <w:t xml:space="preserve"> Hartman and Budick, </w:t>
      </w:r>
      <w:r w:rsidRPr="00E54204">
        <w:rPr>
          <w:i/>
        </w:rPr>
        <w:t>Midrash</w:t>
      </w:r>
      <w:r w:rsidRPr="00E54204">
        <w:t>, 43.</w:t>
      </w:r>
    </w:p>
    <w:p w14:paraId="0D09EA28" w14:textId="77777777" w:rsidR="00E54204" w:rsidRPr="00E54204" w:rsidRDefault="00E54204" w:rsidP="00ED18D8">
      <w:pPr>
        <w:pStyle w:val="FootnoteText"/>
      </w:pPr>
    </w:p>
  </w:footnote>
  <w:footnote w:id="312">
    <w:p w14:paraId="5068B0B6" w14:textId="77777777" w:rsidR="00E54204" w:rsidRPr="00E54204" w:rsidRDefault="00E54204">
      <w:pPr>
        <w:pStyle w:val="FootnoteText"/>
      </w:pPr>
      <w:r w:rsidRPr="00E54204">
        <w:rPr>
          <w:rStyle w:val="FootnoteReference"/>
        </w:rPr>
        <w:footnoteRef/>
      </w:r>
      <w:r w:rsidRPr="00E54204">
        <w:t xml:space="preserve"> Flesher and Chilton, </w:t>
      </w:r>
      <w:r w:rsidRPr="00E54204">
        <w:rPr>
          <w:i/>
        </w:rPr>
        <w:t>The Targums</w:t>
      </w:r>
      <w:r w:rsidRPr="00E54204">
        <w:t>, 461.</w:t>
      </w:r>
    </w:p>
    <w:p w14:paraId="5B500816" w14:textId="77777777" w:rsidR="00E54204" w:rsidRPr="00E54204" w:rsidRDefault="00E54204">
      <w:pPr>
        <w:pStyle w:val="FootnoteText"/>
      </w:pPr>
    </w:p>
  </w:footnote>
  <w:footnote w:id="313">
    <w:p w14:paraId="28532942" w14:textId="77777777" w:rsidR="00E54204" w:rsidRPr="00E54204" w:rsidRDefault="00E54204" w:rsidP="00ED18D8">
      <w:pPr>
        <w:pStyle w:val="FootnoteText"/>
      </w:pPr>
      <w:r w:rsidRPr="00E54204">
        <w:rPr>
          <w:rStyle w:val="FootnoteReference"/>
        </w:rPr>
        <w:footnoteRef/>
      </w:r>
      <w:r w:rsidRPr="00E54204">
        <w:t xml:space="preserve"> Hartman and Budick, </w:t>
      </w:r>
      <w:r w:rsidRPr="00E54204">
        <w:rPr>
          <w:i/>
        </w:rPr>
        <w:t>Midrash</w:t>
      </w:r>
      <w:r w:rsidRPr="00E54204">
        <w:t>, 45.</w:t>
      </w:r>
    </w:p>
    <w:p w14:paraId="196286B8" w14:textId="77777777" w:rsidR="00E54204" w:rsidRPr="00E54204" w:rsidRDefault="00E54204" w:rsidP="00ED18D8">
      <w:pPr>
        <w:pStyle w:val="FootnoteText"/>
      </w:pPr>
    </w:p>
  </w:footnote>
  <w:footnote w:id="314">
    <w:p w14:paraId="73D70E18" w14:textId="77777777" w:rsidR="00E54204" w:rsidRPr="00E54204" w:rsidRDefault="00E54204" w:rsidP="00ED18D8">
      <w:pPr>
        <w:pStyle w:val="FootnoteText"/>
      </w:pPr>
      <w:r w:rsidRPr="00E54204">
        <w:rPr>
          <w:rStyle w:val="FootnoteReference"/>
        </w:rPr>
        <w:footnoteRef/>
      </w:r>
      <w:r w:rsidRPr="00E54204">
        <w:t xml:space="preserve"> </w:t>
      </w:r>
      <w:r w:rsidRPr="00E54204">
        <w:rPr>
          <w:rFonts w:cs="Times New Roman"/>
          <w:rtl/>
          <w:lang w:bidi="he-IL"/>
        </w:rPr>
        <w:t>מזוּמּן</w:t>
      </w:r>
      <w:r w:rsidRPr="00E54204">
        <w:t xml:space="preserve"> (</w:t>
      </w:r>
      <w:r w:rsidRPr="00E54204">
        <w:rPr>
          <w:i/>
        </w:rPr>
        <w:t>mezumman</w:t>
      </w:r>
      <w:r w:rsidRPr="00E54204">
        <w:t>): “being made ready.”</w:t>
      </w:r>
    </w:p>
    <w:p w14:paraId="1C4492FA" w14:textId="77777777" w:rsidR="00E54204" w:rsidRPr="00E54204" w:rsidRDefault="00E54204" w:rsidP="00ED18D8">
      <w:pPr>
        <w:pStyle w:val="FootnoteText"/>
      </w:pPr>
    </w:p>
  </w:footnote>
  <w:footnote w:id="315">
    <w:p w14:paraId="0DC735CC" w14:textId="77777777" w:rsidR="00E54204" w:rsidRPr="00E54204" w:rsidRDefault="00E54204" w:rsidP="00ED18D8">
      <w:pPr>
        <w:pStyle w:val="FootnoteText"/>
      </w:pPr>
      <w:r w:rsidRPr="00E54204">
        <w:rPr>
          <w:rStyle w:val="FootnoteReference"/>
        </w:rPr>
        <w:footnoteRef/>
      </w:r>
      <w:r w:rsidRPr="00E54204">
        <w:t xml:space="preserve"> Society, </w:t>
      </w:r>
      <w:r w:rsidRPr="00E54204">
        <w:rPr>
          <w:i/>
        </w:rPr>
        <w:t>Transactions</w:t>
      </w:r>
      <w:r w:rsidRPr="00E54204">
        <w:t>, 188.</w:t>
      </w:r>
    </w:p>
    <w:p w14:paraId="2E6796B2" w14:textId="77777777" w:rsidR="00E54204" w:rsidRPr="00E54204" w:rsidRDefault="00E54204" w:rsidP="00ED18D8">
      <w:pPr>
        <w:pStyle w:val="FootnoteText"/>
        <w:rPr>
          <w:i/>
        </w:rPr>
      </w:pPr>
    </w:p>
  </w:footnote>
  <w:footnote w:id="316">
    <w:p w14:paraId="570CFE5C" w14:textId="77777777" w:rsidR="00E54204" w:rsidRPr="00E54204" w:rsidRDefault="00E54204" w:rsidP="00ED18D8">
      <w:pPr>
        <w:pStyle w:val="FootnoteText"/>
      </w:pPr>
      <w:r w:rsidRPr="00E54204">
        <w:rPr>
          <w:rStyle w:val="FootnoteReference"/>
        </w:rPr>
        <w:footnoteRef/>
      </w:r>
      <w:r w:rsidRPr="00E54204">
        <w:t xml:space="preserve"> See B. </w:t>
      </w:r>
      <w:r w:rsidRPr="00E54204">
        <w:rPr>
          <w:i/>
        </w:rPr>
        <w:t xml:space="preserve">Avodah Zarah </w:t>
      </w:r>
      <w:r w:rsidRPr="00E54204">
        <w:t>18a.</w:t>
      </w:r>
    </w:p>
    <w:p w14:paraId="2886E524" w14:textId="77777777" w:rsidR="00E54204" w:rsidRPr="00E54204" w:rsidRDefault="00E54204" w:rsidP="00ED18D8">
      <w:pPr>
        <w:pStyle w:val="FootnoteText"/>
      </w:pPr>
    </w:p>
  </w:footnote>
  <w:footnote w:id="317">
    <w:p w14:paraId="5A116820" w14:textId="77777777" w:rsidR="00E54204" w:rsidRPr="00E54204" w:rsidRDefault="00E54204" w:rsidP="00ED18D8">
      <w:pPr>
        <w:pStyle w:val="FootnoteText"/>
      </w:pPr>
      <w:r w:rsidRPr="00E54204">
        <w:rPr>
          <w:rStyle w:val="FootnoteReference"/>
        </w:rPr>
        <w:footnoteRef/>
      </w:r>
      <w:r w:rsidRPr="00E54204">
        <w:t xml:space="preserve"> </w:t>
      </w:r>
      <w:r w:rsidRPr="00E54204">
        <w:rPr>
          <w:i/>
        </w:rPr>
        <w:t xml:space="preserve">Genesis Rabbah </w:t>
      </w:r>
      <w:r w:rsidRPr="00E54204">
        <w:t xml:space="preserve">40 2; quoted in Hartman and Budick, </w:t>
      </w:r>
      <w:r w:rsidRPr="00E54204">
        <w:rPr>
          <w:i/>
        </w:rPr>
        <w:t>Midrash</w:t>
      </w:r>
      <w:r w:rsidRPr="00E54204">
        <w:t>, 46.</w:t>
      </w:r>
    </w:p>
    <w:p w14:paraId="68D4697E" w14:textId="77777777" w:rsidR="00E54204" w:rsidRPr="00E54204" w:rsidRDefault="00E54204" w:rsidP="000E70D1">
      <w:pPr>
        <w:pStyle w:val="FootnoteText"/>
        <w:tabs>
          <w:tab w:val="left" w:pos="1140"/>
        </w:tabs>
      </w:pPr>
      <w:r w:rsidRPr="00E54204">
        <w:tab/>
      </w:r>
    </w:p>
  </w:footnote>
  <w:footnote w:id="318">
    <w:p w14:paraId="37DFE6C2" w14:textId="77777777" w:rsidR="00E54204" w:rsidRPr="00E54204" w:rsidRDefault="00E54204">
      <w:pPr>
        <w:pStyle w:val="FootnoteText"/>
      </w:pPr>
      <w:r w:rsidRPr="00E54204">
        <w:rPr>
          <w:rStyle w:val="FootnoteReference"/>
        </w:rPr>
        <w:footnoteRef/>
      </w:r>
      <w:r w:rsidRPr="00E54204">
        <w:t xml:space="preserve"> See B. </w:t>
      </w:r>
      <w:r w:rsidRPr="00E54204">
        <w:rPr>
          <w:i/>
        </w:rPr>
        <w:t>Moed Katan</w:t>
      </w:r>
      <w:r w:rsidRPr="00E54204">
        <w:t xml:space="preserve"> 9a.</w:t>
      </w:r>
    </w:p>
    <w:p w14:paraId="23A46E1B" w14:textId="77777777" w:rsidR="00E54204" w:rsidRPr="00E54204" w:rsidRDefault="00E54204">
      <w:pPr>
        <w:pStyle w:val="FootnoteText"/>
      </w:pPr>
    </w:p>
  </w:footnote>
  <w:footnote w:id="319">
    <w:p w14:paraId="7620BC2D" w14:textId="77777777" w:rsidR="00E54204" w:rsidRPr="00E54204" w:rsidRDefault="00E54204">
      <w:pPr>
        <w:pStyle w:val="FootnoteText"/>
      </w:pPr>
      <w:r w:rsidRPr="00E54204">
        <w:rPr>
          <w:rStyle w:val="FootnoteReference"/>
        </w:rPr>
        <w:footnoteRef/>
      </w:r>
      <w:r w:rsidRPr="00E54204">
        <w:t xml:space="preserve"> See B. </w:t>
      </w:r>
      <w:r w:rsidRPr="00E54204">
        <w:rPr>
          <w:i/>
        </w:rPr>
        <w:t>Sanhedrin</w:t>
      </w:r>
      <w:r w:rsidRPr="00E54204">
        <w:t xml:space="preserve"> 104b.</w:t>
      </w:r>
    </w:p>
    <w:p w14:paraId="60DFF74B" w14:textId="77777777" w:rsidR="00E54204" w:rsidRPr="00E54204" w:rsidRDefault="00E54204">
      <w:pPr>
        <w:pStyle w:val="FootnoteText"/>
      </w:pPr>
    </w:p>
  </w:footnote>
  <w:footnote w:id="320">
    <w:p w14:paraId="0B1ED649" w14:textId="77777777" w:rsidR="00E54204" w:rsidRPr="00E54204" w:rsidRDefault="00E54204" w:rsidP="00ED18D8">
      <w:pPr>
        <w:pStyle w:val="FootnoteText"/>
      </w:pPr>
      <w:r w:rsidRPr="00E54204">
        <w:rPr>
          <w:rStyle w:val="FootnoteReference"/>
        </w:rPr>
        <w:footnoteRef/>
      </w:r>
      <w:r w:rsidRPr="00E54204">
        <w:t xml:space="preserve"> According to Tessa Rajak, “Both the phenomenon and ideology of martyrdom were crystallized in Greek texts written, by Jews, before becoming part of Christianity.”  Cf. Tessa Rajak, </w:t>
      </w:r>
      <w:r w:rsidRPr="00E54204">
        <w:rPr>
          <w:i/>
        </w:rPr>
        <w:t>the Jewish Dialogue with Greece and Rome</w:t>
      </w:r>
      <w:r w:rsidRPr="00E54204">
        <w:t xml:space="preserve"> (Leiden: Brill, 2002) 101.  Reference quoted by Daniel Boyarin </w:t>
      </w:r>
      <w:r w:rsidRPr="00E54204">
        <w:rPr>
          <w:i/>
        </w:rPr>
        <w:t>Dying for God: Martyrdom and the Making of Christianity and Judaism</w:t>
      </w:r>
      <w:r w:rsidRPr="00E54204">
        <w:t xml:space="preserve"> (Stanford: Stanford University Press, 1999), 187, n.9.</w:t>
      </w:r>
    </w:p>
    <w:p w14:paraId="390F606C" w14:textId="77777777" w:rsidR="00E54204" w:rsidRPr="00E54204" w:rsidRDefault="00E54204" w:rsidP="00ED18D8">
      <w:pPr>
        <w:pStyle w:val="FootnoteText"/>
      </w:pPr>
    </w:p>
  </w:footnote>
  <w:footnote w:id="321">
    <w:p w14:paraId="1DF2E807" w14:textId="77777777" w:rsidR="00E54204" w:rsidRPr="00E54204" w:rsidRDefault="00E54204">
      <w:pPr>
        <w:pStyle w:val="FootnoteText"/>
      </w:pPr>
      <w:r w:rsidRPr="00E54204">
        <w:rPr>
          <w:rStyle w:val="FootnoteReference"/>
        </w:rPr>
        <w:footnoteRef/>
      </w:r>
      <w:r w:rsidRPr="00E54204">
        <w:t xml:space="preserve"> See T. </w:t>
      </w:r>
      <w:r w:rsidRPr="00E54204">
        <w:rPr>
          <w:i/>
        </w:rPr>
        <w:t xml:space="preserve">Sanhedrin </w:t>
      </w:r>
      <w:r w:rsidRPr="00E54204">
        <w:t>13:5, which lists heretics (</w:t>
      </w:r>
      <w:r w:rsidRPr="00E54204">
        <w:rPr>
          <w:i/>
        </w:rPr>
        <w:t>minim</w:t>
      </w:r>
      <w:r w:rsidRPr="00E54204">
        <w:t>), apostates (</w:t>
      </w:r>
      <w:r w:rsidRPr="00E54204">
        <w:rPr>
          <w:i/>
        </w:rPr>
        <w:t>meshummadin</w:t>
      </w:r>
      <w:r w:rsidRPr="00E54204">
        <w:t>), and the “irreverent” or “skeptic” (</w:t>
      </w:r>
      <w:r w:rsidRPr="00E54204">
        <w:rPr>
          <w:i/>
        </w:rPr>
        <w:t>apiqoros</w:t>
      </w:r>
      <w:r w:rsidRPr="00E54204">
        <w:t>) have no share in “the world to come.”</w:t>
      </w:r>
    </w:p>
    <w:p w14:paraId="0ABC1163" w14:textId="77777777" w:rsidR="00E54204" w:rsidRPr="00E54204" w:rsidRDefault="00E54204">
      <w:pPr>
        <w:pStyle w:val="FootnoteText"/>
      </w:pPr>
    </w:p>
  </w:footnote>
  <w:footnote w:id="322">
    <w:p w14:paraId="6BF3C952" w14:textId="77777777" w:rsidR="00E54204" w:rsidRPr="00E54204" w:rsidRDefault="00E54204">
      <w:pPr>
        <w:pStyle w:val="FootnoteText"/>
      </w:pPr>
      <w:r w:rsidRPr="00E54204">
        <w:rPr>
          <w:rStyle w:val="FootnoteReference"/>
        </w:rPr>
        <w:footnoteRef/>
      </w:r>
      <w:r w:rsidRPr="00E54204">
        <w:t xml:space="preserve"> Kalmin, </w:t>
      </w:r>
      <w:r w:rsidRPr="00E54204">
        <w:rPr>
          <w:i/>
        </w:rPr>
        <w:t>The Sage</w:t>
      </w:r>
      <w:r w:rsidRPr="00E54204">
        <w:t>, 68.</w:t>
      </w:r>
    </w:p>
    <w:p w14:paraId="027F3E23" w14:textId="77777777" w:rsidR="00E54204" w:rsidRPr="00E54204" w:rsidRDefault="00E54204">
      <w:pPr>
        <w:pStyle w:val="FootnoteText"/>
      </w:pPr>
    </w:p>
  </w:footnote>
  <w:footnote w:id="323">
    <w:p w14:paraId="667F7531" w14:textId="77777777" w:rsidR="00E54204" w:rsidRPr="00E54204" w:rsidRDefault="00E54204" w:rsidP="00ED18D8">
      <w:pPr>
        <w:pStyle w:val="FootnoteText"/>
      </w:pPr>
      <w:r w:rsidRPr="00E54204">
        <w:rPr>
          <w:rStyle w:val="FootnoteReference"/>
        </w:rPr>
        <w:footnoteRef/>
      </w:r>
      <w:r w:rsidRPr="00E54204">
        <w:t xml:space="preserve"> The title included Gnostics, Christians, and others; cf. B. </w:t>
      </w:r>
      <w:r w:rsidRPr="00E54204">
        <w:rPr>
          <w:i/>
        </w:rPr>
        <w:t>Avodah Zarah</w:t>
      </w:r>
      <w:r w:rsidRPr="00E54204">
        <w:t xml:space="preserve"> 16b where R. Eliezer ben Hyrcanus is charged with </w:t>
      </w:r>
      <w:r w:rsidRPr="00E54204">
        <w:rPr>
          <w:i/>
        </w:rPr>
        <w:t>minut</w:t>
      </w:r>
      <w:r w:rsidRPr="00E54204">
        <w:t xml:space="preserve"> (“heresy”).  R. Travers Herford noted that R. Eliezer and </w:t>
      </w:r>
      <w:r w:rsidRPr="00E54204">
        <w:rPr>
          <w:i/>
        </w:rPr>
        <w:t xml:space="preserve">minut </w:t>
      </w:r>
      <w:r w:rsidRPr="00E54204">
        <w:t xml:space="preserve">appear no less than five times in Talmud and Midrash; cf. R. Travers Herford, </w:t>
      </w:r>
      <w:r w:rsidRPr="00E54204">
        <w:rPr>
          <w:i/>
        </w:rPr>
        <w:t>Christianity in Talmud and Midrash</w:t>
      </w:r>
      <w:r w:rsidRPr="00E54204">
        <w:t xml:space="preserve"> (Clifton, N.J.: Reference Book Publishers, 1986), 185.</w:t>
      </w:r>
    </w:p>
    <w:p w14:paraId="42BFC6A6" w14:textId="77777777" w:rsidR="00E54204" w:rsidRPr="00E54204" w:rsidRDefault="00E54204" w:rsidP="00ED18D8">
      <w:pPr>
        <w:pStyle w:val="FootnoteText"/>
      </w:pPr>
    </w:p>
  </w:footnote>
  <w:footnote w:id="324">
    <w:p w14:paraId="5234A3B9" w14:textId="77777777" w:rsidR="00E54204" w:rsidRPr="00E54204" w:rsidRDefault="00E54204">
      <w:pPr>
        <w:pStyle w:val="FootnoteText"/>
      </w:pPr>
      <w:r w:rsidRPr="00E54204">
        <w:rPr>
          <w:rStyle w:val="FootnoteReference"/>
        </w:rPr>
        <w:footnoteRef/>
      </w:r>
      <w:r w:rsidRPr="00E54204">
        <w:t xml:space="preserve"> A famous case is R. Eliezer’s charge of heresy (i.e. Christianity); cf. T. </w:t>
      </w:r>
      <w:r w:rsidRPr="00E54204">
        <w:rPr>
          <w:i/>
        </w:rPr>
        <w:t xml:space="preserve">Chullin </w:t>
      </w:r>
      <w:r w:rsidRPr="00E54204">
        <w:t xml:space="preserve">2:24; B. </w:t>
      </w:r>
      <w:r w:rsidRPr="00E54204">
        <w:rPr>
          <w:i/>
        </w:rPr>
        <w:t xml:space="preserve">Avodah Zarah </w:t>
      </w:r>
      <w:r w:rsidRPr="00E54204">
        <w:t xml:space="preserve">16b-17a; </w:t>
      </w:r>
      <w:r w:rsidRPr="00E54204">
        <w:rPr>
          <w:i/>
        </w:rPr>
        <w:t xml:space="preserve">Kohelet Rabbah </w:t>
      </w:r>
      <w:r w:rsidRPr="00E54204">
        <w:t xml:space="preserve">1:8.  For instances where receiving healing from a heretic is prohibited see: T. </w:t>
      </w:r>
      <w:r w:rsidRPr="00E54204">
        <w:rPr>
          <w:i/>
        </w:rPr>
        <w:t xml:space="preserve">Chullin </w:t>
      </w:r>
      <w:r w:rsidRPr="00E54204">
        <w:t xml:space="preserve">2:20-23; B. A.Z. 27b.  See also J. </w:t>
      </w:r>
      <w:r w:rsidRPr="00E54204">
        <w:rPr>
          <w:i/>
        </w:rPr>
        <w:t xml:space="preserve">Shabbat </w:t>
      </w:r>
      <w:r w:rsidRPr="00E54204">
        <w:t>14:4 where R. Joshua ben Levi asserts that it would have been better if his grandson would have died rather than be healed by someone in the name of Yeshu Pandira (i.e., Jesus).</w:t>
      </w:r>
    </w:p>
    <w:p w14:paraId="4879CCBE" w14:textId="77777777" w:rsidR="00E54204" w:rsidRPr="00E54204" w:rsidRDefault="00E54204">
      <w:pPr>
        <w:pStyle w:val="FootnoteText"/>
      </w:pPr>
    </w:p>
  </w:footnote>
  <w:footnote w:id="325">
    <w:p w14:paraId="03B07B61" w14:textId="77777777" w:rsidR="00E54204" w:rsidRPr="00E54204" w:rsidRDefault="00E54204" w:rsidP="00ED18D8">
      <w:pPr>
        <w:pStyle w:val="FootnoteText"/>
      </w:pPr>
      <w:r w:rsidRPr="00E54204">
        <w:rPr>
          <w:rStyle w:val="FootnoteReference"/>
        </w:rPr>
        <w:footnoteRef/>
      </w:r>
      <w:r w:rsidRPr="00E54204">
        <w:t xml:space="preserve"> She compares the standard phrase employed by the </w:t>
      </w:r>
      <w:r w:rsidRPr="00E54204">
        <w:rPr>
          <w:i/>
        </w:rPr>
        <w:t>bat kol</w:t>
      </w:r>
      <w:r w:rsidRPr="00E54204">
        <w:t xml:space="preserve"> with the similar yet different phrase also found in rabbinic writings: “Who is the son of the world to come?”  Lindbeck writes that the answer is someone who does a praiseworthy action.  Therefore, the </w:t>
      </w:r>
      <w:r w:rsidRPr="00E54204">
        <w:rPr>
          <w:i/>
        </w:rPr>
        <w:t xml:space="preserve">bat kol </w:t>
      </w:r>
      <w:r w:rsidRPr="00E54204">
        <w:t xml:space="preserve">assumes heavenly authority to confirm admittance into the world to come, while other important characters like Elijah do not assume such a task.  Cf. Kristen H. Lindbeck, </w:t>
      </w:r>
      <w:r w:rsidRPr="00E54204">
        <w:rPr>
          <w:i/>
        </w:rPr>
        <w:t xml:space="preserve">Elijah and the Rabbis: Story and Theology </w:t>
      </w:r>
      <w:r w:rsidRPr="00E54204">
        <w:t>(New York: Columbia University Press, 2010), 55-56.</w:t>
      </w:r>
    </w:p>
    <w:p w14:paraId="2479F05D" w14:textId="77777777" w:rsidR="00E54204" w:rsidRPr="00E54204" w:rsidRDefault="00E54204" w:rsidP="00ED18D8">
      <w:pPr>
        <w:pStyle w:val="FootnoteText"/>
      </w:pPr>
    </w:p>
  </w:footnote>
  <w:footnote w:id="326">
    <w:p w14:paraId="7506D522" w14:textId="77777777" w:rsidR="00E54204" w:rsidRPr="00E54204" w:rsidRDefault="00E54204" w:rsidP="00ED18D8">
      <w:pPr>
        <w:pStyle w:val="FootnoteText"/>
      </w:pPr>
      <w:r w:rsidRPr="00E54204">
        <w:rPr>
          <w:rStyle w:val="FootnoteReference"/>
        </w:rPr>
        <w:footnoteRef/>
      </w:r>
      <w:r w:rsidRPr="00E54204">
        <w:t xml:space="preserve"> Lindbeck, </w:t>
      </w:r>
      <w:r w:rsidRPr="00E54204">
        <w:rPr>
          <w:i/>
        </w:rPr>
        <w:t>Elijah</w:t>
      </w:r>
      <w:r w:rsidRPr="00E54204">
        <w:t>, 56-57.</w:t>
      </w:r>
    </w:p>
    <w:p w14:paraId="222B5FC8" w14:textId="77777777" w:rsidR="00E54204" w:rsidRPr="00E54204" w:rsidRDefault="00E54204" w:rsidP="00ED18D8">
      <w:pPr>
        <w:pStyle w:val="FootnoteText"/>
      </w:pPr>
    </w:p>
  </w:footnote>
  <w:footnote w:id="327">
    <w:p w14:paraId="75063AD1" w14:textId="77777777" w:rsidR="00E54204" w:rsidRPr="00E54204" w:rsidRDefault="00E54204">
      <w:pPr>
        <w:pStyle w:val="FootnoteText"/>
      </w:pPr>
      <w:r w:rsidRPr="00E54204">
        <w:rPr>
          <w:rStyle w:val="FootnoteReference"/>
        </w:rPr>
        <w:footnoteRef/>
      </w:r>
      <w:r w:rsidRPr="00E54204">
        <w:t xml:space="preserve"> S.D. Cohen wrote that two groups were unable to be incorporated into the rabbinic fold at Yavneh.  Those who insisted on a sectarian self-identification and those who refused to heed the will of the majority.  See S.D. Cohen, “The Significance of Yavneh: Pharisees, Rabbis, and the End of Jewish Sectarianism” </w:t>
      </w:r>
      <w:r w:rsidRPr="00E54204">
        <w:rPr>
          <w:i/>
        </w:rPr>
        <w:t>Hebrew Union College Annual</w:t>
      </w:r>
      <w:r w:rsidRPr="00E54204">
        <w:t xml:space="preserve"> 55.  Not surprisingly, we learn of how R. Eliezer did not succumb to the view of the majority in the incident of the oven of “Aknai;” as a result he was treated practically like a heretic by his peers.  It is conceivable that sectarian self-identification and dismissing majority rules were, for the sages, two sides of a very dangerous coin.</w:t>
      </w:r>
    </w:p>
    <w:p w14:paraId="0B0B68DA" w14:textId="77777777" w:rsidR="00E54204" w:rsidRPr="00E54204" w:rsidRDefault="00E54204">
      <w:pPr>
        <w:pStyle w:val="FootnoteText"/>
      </w:pPr>
    </w:p>
  </w:footnote>
  <w:footnote w:id="328">
    <w:p w14:paraId="4FC22FA9" w14:textId="77777777" w:rsidR="00E54204" w:rsidRPr="00E54204" w:rsidRDefault="00E54204" w:rsidP="00ED18D8">
      <w:pPr>
        <w:pStyle w:val="FootnoteText"/>
        <w:rPr>
          <w:bCs/>
          <w:iCs/>
        </w:rPr>
      </w:pPr>
      <w:r w:rsidRPr="00E54204">
        <w:rPr>
          <w:rStyle w:val="FootnoteReference"/>
        </w:rPr>
        <w:footnoteRef/>
      </w:r>
      <w:r w:rsidRPr="00E54204">
        <w:t xml:space="preserve"> Translated “benedictions” or “blessings.”  This tractate pertains to the rules of reciting the </w:t>
      </w:r>
      <w:r w:rsidRPr="00E54204">
        <w:rPr>
          <w:i/>
        </w:rPr>
        <w:t xml:space="preserve">Sh’ma </w:t>
      </w:r>
      <w:r w:rsidRPr="00E54204">
        <w:t xml:space="preserve">and other </w:t>
      </w:r>
      <w:r w:rsidRPr="00E54204">
        <w:rPr>
          <w:i/>
        </w:rPr>
        <w:t>t’fillah</w:t>
      </w:r>
      <w:r w:rsidRPr="00E54204">
        <w:t xml:space="preserve"> (“prayers”).  Maurice Simon noted that this tractate has more </w:t>
      </w:r>
      <w:r w:rsidRPr="00E54204">
        <w:rPr>
          <w:i/>
        </w:rPr>
        <w:t>Haggadah</w:t>
      </w:r>
      <w:r w:rsidRPr="00E54204">
        <w:t xml:space="preserve"> in proportion to its length than any other tractate.  Maurice Simon, trans., </w:t>
      </w:r>
      <w:r w:rsidRPr="00E54204">
        <w:rPr>
          <w:bCs/>
          <w:i/>
          <w:iCs/>
        </w:rPr>
        <w:t>Berakhot: Translated into English with Notes, Glossary and Indices</w:t>
      </w:r>
      <w:r w:rsidRPr="00E54204">
        <w:rPr>
          <w:bCs/>
          <w:iCs/>
        </w:rPr>
        <w:t xml:space="preserve"> (London: Soncino Press, 1948), “Introduction.”</w:t>
      </w:r>
    </w:p>
    <w:p w14:paraId="67AB56A3" w14:textId="77777777" w:rsidR="00E54204" w:rsidRPr="00E54204" w:rsidRDefault="00E54204" w:rsidP="00ED18D8">
      <w:pPr>
        <w:pStyle w:val="FootnoteText"/>
      </w:pPr>
    </w:p>
  </w:footnote>
  <w:footnote w:id="329">
    <w:p w14:paraId="332788CD" w14:textId="77777777" w:rsidR="00E54204" w:rsidRPr="00E54204" w:rsidRDefault="00E54204" w:rsidP="00ED18D8">
      <w:pPr>
        <w:pStyle w:val="FootnoteText"/>
      </w:pPr>
      <w:r w:rsidRPr="00E54204">
        <w:rPr>
          <w:rStyle w:val="FootnoteReference"/>
        </w:rPr>
        <w:footnoteRef/>
      </w:r>
      <w:r w:rsidRPr="00E54204">
        <w:t xml:space="preserve"> See J. Ber. 14b.  There is also a late-third century Midrash on Exodus, </w:t>
      </w:r>
      <w:r w:rsidRPr="00E54204">
        <w:rPr>
          <w:i/>
        </w:rPr>
        <w:t>Mekhilta</w:t>
      </w:r>
      <w:r w:rsidRPr="00E54204">
        <w:t xml:space="preserve"> that depicts R. Akiva praising God and explaining why His people are willing to die for him. Quoted in Daniel Boyarin, </w:t>
      </w:r>
      <w:r w:rsidRPr="00E54204">
        <w:rPr>
          <w:i/>
        </w:rPr>
        <w:t>Dying for God: Martyrdom and the Making of Christianity and Judaism</w:t>
      </w:r>
      <w:r w:rsidRPr="00E54204">
        <w:t xml:space="preserve"> (Stanford: Stanford University Press, 1999), 109.   For a reading of R. Akiva’s martyrdom as a play on martyrdom between rabbinic Jews and (Jewish?) Christians see Boyarin, </w:t>
      </w:r>
      <w:r w:rsidRPr="00E54204">
        <w:rPr>
          <w:i/>
        </w:rPr>
        <w:t>Dying for God</w:t>
      </w:r>
      <w:r w:rsidRPr="00E54204">
        <w:t xml:space="preserve">, 103-105.  For a different reading than Boyarin’s see Paul Mandel’s article “Was Rabbi Aqiva a Martyr?  Palestinian and Babylonian influences in the Development of a Legend.”  Mandel suggests that the Bavli version was dependent upon the Yerushalmi version by changing the focus of the story between R. Akiva and his students rather than with the Roman governor, Turnus Rufus, who oversaw and enforced Hadrian’s persecution of the Jews during the Bar Kochba revolt.  Mandel suggests that this shift towards the intent as well as the teacher-student relationship is well attested by other examples in the Bavli.  Cf. Ronit Nikolsky and </w:t>
      </w:r>
      <w:r w:rsidRPr="00E54204">
        <w:rPr>
          <w:bCs/>
        </w:rPr>
        <w:t xml:space="preserve">Ṭal Ilan, eds., </w:t>
      </w:r>
      <w:r w:rsidRPr="00E54204">
        <w:rPr>
          <w:bCs/>
          <w:i/>
        </w:rPr>
        <w:t>Rabbinic Traditions between Palestine and Babylonia</w:t>
      </w:r>
      <w:r w:rsidRPr="00E54204">
        <w:rPr>
          <w:bCs/>
        </w:rPr>
        <w:t xml:space="preserve"> (Boston: Brill, 2014), 306ff. especially 329.</w:t>
      </w:r>
    </w:p>
    <w:p w14:paraId="0EB7F54B" w14:textId="77777777" w:rsidR="00E54204" w:rsidRPr="00E54204" w:rsidRDefault="00E54204" w:rsidP="00ED18D8">
      <w:pPr>
        <w:pStyle w:val="FootnoteText"/>
      </w:pPr>
    </w:p>
  </w:footnote>
  <w:footnote w:id="330">
    <w:p w14:paraId="424A0966" w14:textId="77777777" w:rsidR="00E54204" w:rsidRPr="00E54204" w:rsidRDefault="00E54204" w:rsidP="00ED18D8">
      <w:pPr>
        <w:pStyle w:val="FootnoteText"/>
      </w:pPr>
      <w:r w:rsidRPr="00E54204">
        <w:rPr>
          <w:rStyle w:val="FootnoteReference"/>
        </w:rPr>
        <w:footnoteRef/>
      </w:r>
      <w:r w:rsidRPr="00E54204">
        <w:t xml:space="preserve"> See Isaiah Gafni’s article “The Modern Study of Rabbinics and Historical Questions” where he briefly discusses these approaches in Bieringer, ed. et al., </w:t>
      </w:r>
      <w:r w:rsidRPr="00E54204">
        <w:rPr>
          <w:i/>
        </w:rPr>
        <w:t>The New Testament</w:t>
      </w:r>
      <w:r w:rsidRPr="00E54204">
        <w:t>, 43-61.</w:t>
      </w:r>
    </w:p>
    <w:p w14:paraId="2D576F03" w14:textId="77777777" w:rsidR="00E54204" w:rsidRPr="00E54204" w:rsidRDefault="00E54204" w:rsidP="00ED18D8">
      <w:pPr>
        <w:pStyle w:val="FootnoteText"/>
      </w:pPr>
    </w:p>
  </w:footnote>
  <w:footnote w:id="331">
    <w:p w14:paraId="0E4AA195" w14:textId="77777777" w:rsidR="00E54204" w:rsidRPr="00E54204" w:rsidRDefault="00E54204" w:rsidP="00ED18D8">
      <w:pPr>
        <w:pStyle w:val="FootnoteText"/>
      </w:pPr>
      <w:r w:rsidRPr="00E54204">
        <w:rPr>
          <w:rStyle w:val="FootnoteReference"/>
        </w:rPr>
        <w:footnoteRef/>
      </w:r>
      <w:r w:rsidRPr="00E54204">
        <w:t xml:space="preserve"> See Bieringer, ed., et al., </w:t>
      </w:r>
      <w:r w:rsidRPr="00E54204">
        <w:rPr>
          <w:i/>
        </w:rPr>
        <w:t>The New Testament</w:t>
      </w:r>
      <w:r w:rsidRPr="00E54204">
        <w:t xml:space="preserve">, 57.  While the </w:t>
      </w:r>
      <w:r w:rsidRPr="00E54204">
        <w:rPr>
          <w:i/>
        </w:rPr>
        <w:t xml:space="preserve">bat kol </w:t>
      </w:r>
      <w:r w:rsidRPr="00E54204">
        <w:t>does not appear in Josephus, he does record the heavenly voices that went forth in the Temple while John Hyrcanus and Simon the Righteous were serving therein; cf. 76-79.</w:t>
      </w:r>
    </w:p>
    <w:p w14:paraId="60257C49" w14:textId="77777777" w:rsidR="00E54204" w:rsidRPr="00E54204" w:rsidRDefault="00E54204" w:rsidP="00ED18D8">
      <w:pPr>
        <w:pStyle w:val="FootnoteText"/>
      </w:pPr>
    </w:p>
  </w:footnote>
  <w:footnote w:id="332">
    <w:p w14:paraId="191DEE57" w14:textId="77777777" w:rsidR="00E54204" w:rsidRPr="00E54204" w:rsidRDefault="00E54204" w:rsidP="00ED18D8">
      <w:pPr>
        <w:pStyle w:val="FootnoteText"/>
        <w:rPr>
          <w:bCs/>
        </w:rPr>
      </w:pPr>
      <w:r w:rsidRPr="00E54204">
        <w:rPr>
          <w:rStyle w:val="FootnoteReference"/>
        </w:rPr>
        <w:footnoteRef/>
      </w:r>
      <w:r w:rsidRPr="00E54204">
        <w:t xml:space="preserve"> Alon Goshen Gottstein suggested, based on evidence from his book </w:t>
      </w:r>
      <w:r w:rsidRPr="00E54204">
        <w:rPr>
          <w:bCs/>
          <w:i/>
          <w:iCs/>
        </w:rPr>
        <w:t>The Sinner and the Amnesiac: The Rabbinic Invention of Elisha Ben Abuya and Eleazar Ben Arach</w:t>
      </w:r>
      <w:r w:rsidRPr="00E54204">
        <w:rPr>
          <w:bCs/>
        </w:rPr>
        <w:t xml:space="preserve"> that the Yerushalmi version actually came after the Bavli.  Hence he remarks the following on the </w:t>
      </w:r>
      <w:r w:rsidRPr="00E54204">
        <w:rPr>
          <w:bCs/>
          <w:i/>
        </w:rPr>
        <w:t>bat kol</w:t>
      </w:r>
      <w:r w:rsidRPr="00E54204">
        <w:rPr>
          <w:bCs/>
        </w:rPr>
        <w:t xml:space="preserve">: “In the Bavli the </w:t>
      </w:r>
      <w:r w:rsidRPr="00E54204">
        <w:rPr>
          <w:bCs/>
          <w:i/>
        </w:rPr>
        <w:t>bat kol</w:t>
      </w:r>
      <w:r w:rsidRPr="00E54204">
        <w:rPr>
          <w:bCs/>
        </w:rPr>
        <w:t xml:space="preserve"> is respected, and ultimately avoided; in the Yerushalmi, the significance of the </w:t>
      </w:r>
      <w:r w:rsidRPr="00E54204">
        <w:rPr>
          <w:bCs/>
          <w:i/>
        </w:rPr>
        <w:t>bat kol</w:t>
      </w:r>
      <w:r w:rsidRPr="00E54204">
        <w:rPr>
          <w:bCs/>
        </w:rPr>
        <w:t xml:space="preserve"> is diminished to the point of being ignored;” (Stanford: Stanford University Press, 2000), 202.</w:t>
      </w:r>
    </w:p>
    <w:p w14:paraId="2C4D2FB6" w14:textId="77777777" w:rsidR="00E54204" w:rsidRPr="00E54204" w:rsidRDefault="00E54204" w:rsidP="00ED18D8">
      <w:pPr>
        <w:pStyle w:val="FootnoteText"/>
        <w:rPr>
          <w:bCs/>
          <w:iCs/>
        </w:rPr>
      </w:pPr>
    </w:p>
  </w:footnote>
  <w:footnote w:id="333">
    <w:p w14:paraId="282C241F" w14:textId="77777777" w:rsidR="00E54204" w:rsidRPr="00E54204" w:rsidRDefault="00E54204" w:rsidP="00ED18D8">
      <w:pPr>
        <w:pStyle w:val="FootnoteText"/>
      </w:pPr>
      <w:r w:rsidRPr="00E54204">
        <w:rPr>
          <w:rStyle w:val="FootnoteReference"/>
        </w:rPr>
        <w:footnoteRef/>
      </w:r>
      <w:r w:rsidRPr="00E54204">
        <w:t xml:space="preserve"> Sage, </w:t>
      </w:r>
      <w:r w:rsidRPr="00E54204">
        <w:rPr>
          <w:i/>
        </w:rPr>
        <w:t>tanna</w:t>
      </w:r>
      <w:r w:rsidRPr="00E54204">
        <w:t xml:space="preserve"> (“teacher”), from the land of Israel who lived in the late first century and early second century CE.</w:t>
      </w:r>
    </w:p>
    <w:p w14:paraId="40728C48" w14:textId="77777777" w:rsidR="00E54204" w:rsidRPr="00E54204" w:rsidRDefault="00E54204" w:rsidP="00ED18D8">
      <w:pPr>
        <w:pStyle w:val="FootnoteText"/>
      </w:pPr>
    </w:p>
  </w:footnote>
  <w:footnote w:id="334">
    <w:p w14:paraId="057C89E4" w14:textId="77777777" w:rsidR="00E54204" w:rsidRPr="00E54204" w:rsidRDefault="00E54204" w:rsidP="00ED18D8">
      <w:pPr>
        <w:pStyle w:val="FootnoteText"/>
      </w:pPr>
      <w:r w:rsidRPr="00E54204">
        <w:rPr>
          <w:rStyle w:val="FootnoteReference"/>
        </w:rPr>
        <w:footnoteRef/>
      </w:r>
      <w:r w:rsidRPr="00E54204">
        <w:t xml:space="preserve"> Here, “might” (</w:t>
      </w:r>
      <w:r w:rsidRPr="00E54204">
        <w:rPr>
          <w:i/>
        </w:rPr>
        <w:t>meodekha</w:t>
      </w:r>
      <w:r w:rsidRPr="00E54204">
        <w:t>) is interpreted to mean money.</w:t>
      </w:r>
    </w:p>
    <w:p w14:paraId="15C29A3E" w14:textId="77777777" w:rsidR="00E54204" w:rsidRPr="00E54204" w:rsidRDefault="00E54204" w:rsidP="00ED18D8">
      <w:pPr>
        <w:pStyle w:val="FootnoteText"/>
      </w:pPr>
    </w:p>
  </w:footnote>
  <w:footnote w:id="335">
    <w:p w14:paraId="65A3E8A7" w14:textId="77777777" w:rsidR="00E54204" w:rsidRPr="00E54204" w:rsidRDefault="00E54204" w:rsidP="00ED18D8">
      <w:pPr>
        <w:pStyle w:val="FootnoteText"/>
        <w:rPr>
          <w:bCs/>
          <w:iCs/>
        </w:rPr>
      </w:pPr>
      <w:r w:rsidRPr="00E54204">
        <w:rPr>
          <w:rStyle w:val="FootnoteReference"/>
        </w:rPr>
        <w:footnoteRef/>
      </w:r>
      <w:r w:rsidRPr="00E54204">
        <w:t xml:space="preserve"> Isidore Epstein, </w:t>
      </w:r>
      <w:r w:rsidRPr="00E54204">
        <w:rPr>
          <w:bCs/>
          <w:i/>
          <w:iCs/>
        </w:rPr>
        <w:t xml:space="preserve">Hebrew-English edition of the Babylonian Talmud </w:t>
      </w:r>
      <w:r w:rsidRPr="00E54204">
        <w:rPr>
          <w:bCs/>
          <w:iCs/>
        </w:rPr>
        <w:t xml:space="preserve">(London: Soncino, 1960), </w:t>
      </w:r>
      <w:r w:rsidRPr="00E54204">
        <w:rPr>
          <w:bCs/>
          <w:i/>
          <w:iCs/>
        </w:rPr>
        <w:t>Berakhot</w:t>
      </w:r>
      <w:r w:rsidRPr="00E54204">
        <w:rPr>
          <w:bCs/>
          <w:iCs/>
        </w:rPr>
        <w:t xml:space="preserve"> 61b.</w:t>
      </w:r>
    </w:p>
    <w:p w14:paraId="5C214E58" w14:textId="77777777" w:rsidR="00E54204" w:rsidRPr="00E54204" w:rsidRDefault="00E54204" w:rsidP="00ED18D8">
      <w:pPr>
        <w:pStyle w:val="FootnoteText"/>
      </w:pPr>
    </w:p>
  </w:footnote>
  <w:footnote w:id="336">
    <w:p w14:paraId="04C77398" w14:textId="77777777" w:rsidR="00E54204" w:rsidRPr="00E54204" w:rsidRDefault="00E54204" w:rsidP="00ED18D8">
      <w:pPr>
        <w:pStyle w:val="FootnoteText"/>
        <w:rPr>
          <w:bCs/>
        </w:rPr>
      </w:pPr>
      <w:r w:rsidRPr="00E54204">
        <w:rPr>
          <w:rStyle w:val="FootnoteReference"/>
        </w:rPr>
        <w:footnoteRef/>
      </w:r>
      <w:r w:rsidRPr="00E54204">
        <w:t xml:space="preserve"> Or </w:t>
      </w:r>
      <w:r w:rsidRPr="00E54204">
        <w:rPr>
          <w:i/>
        </w:rPr>
        <w:t>teniya</w:t>
      </w:r>
      <w:r w:rsidRPr="00E54204">
        <w:t xml:space="preserve"> </w:t>
      </w:r>
      <w:r w:rsidRPr="00E54204">
        <w:rPr>
          <w:rtl/>
          <w:lang w:bidi="he-IL"/>
        </w:rPr>
        <w:t>תניא</w:t>
      </w:r>
      <w:r w:rsidRPr="00E54204">
        <w:t xml:space="preserve">, which refers to a </w:t>
      </w:r>
      <w:r w:rsidRPr="00E54204">
        <w:rPr>
          <w:i/>
        </w:rPr>
        <w:t>Baraita</w:t>
      </w:r>
      <w:r w:rsidRPr="00E54204">
        <w:t xml:space="preserve">.  Cf. Marcus Jastrow, </w:t>
      </w:r>
      <w:r w:rsidRPr="00E54204">
        <w:rPr>
          <w:bCs/>
          <w:i/>
        </w:rPr>
        <w:t xml:space="preserve">Dictionary of Targumim, Talmud and Midrashic Literature </w:t>
      </w:r>
      <w:r w:rsidRPr="00E54204">
        <w:rPr>
          <w:bCs/>
        </w:rPr>
        <w:t xml:space="preserve">(London: </w:t>
      </w:r>
      <w:r w:rsidRPr="00E54204">
        <w:rPr>
          <w:rFonts w:hint="eastAsia"/>
          <w:bCs/>
        </w:rPr>
        <w:t>Trübner,</w:t>
      </w:r>
      <w:r w:rsidRPr="00E54204">
        <w:rPr>
          <w:bCs/>
        </w:rPr>
        <w:t xml:space="preserve"> 1886), 1,681.</w:t>
      </w:r>
    </w:p>
    <w:p w14:paraId="72AA37BA" w14:textId="77777777" w:rsidR="00E54204" w:rsidRPr="00E54204" w:rsidRDefault="00E54204" w:rsidP="00ED18D8">
      <w:pPr>
        <w:pStyle w:val="FootnoteText"/>
      </w:pPr>
    </w:p>
  </w:footnote>
  <w:footnote w:id="337">
    <w:p w14:paraId="0728CC8A" w14:textId="77777777" w:rsidR="00E54204" w:rsidRPr="00E54204" w:rsidRDefault="00E54204" w:rsidP="00ED18D8">
      <w:pPr>
        <w:pStyle w:val="FootnoteText"/>
      </w:pPr>
      <w:r w:rsidRPr="00E54204">
        <w:rPr>
          <w:rStyle w:val="FootnoteReference"/>
        </w:rPr>
        <w:footnoteRef/>
      </w:r>
      <w:r w:rsidRPr="00E54204">
        <w:t xml:space="preserve"> I.e., Rome.</w:t>
      </w:r>
    </w:p>
    <w:p w14:paraId="433B8840" w14:textId="77777777" w:rsidR="00E54204" w:rsidRPr="00E54204" w:rsidRDefault="00E54204" w:rsidP="00ED18D8">
      <w:pPr>
        <w:pStyle w:val="FootnoteText"/>
      </w:pPr>
    </w:p>
  </w:footnote>
  <w:footnote w:id="338">
    <w:p w14:paraId="5DE6C8FA" w14:textId="77777777" w:rsidR="00E54204" w:rsidRPr="00E54204" w:rsidRDefault="00E54204" w:rsidP="00ED18D8">
      <w:pPr>
        <w:pStyle w:val="FootnoteText"/>
      </w:pPr>
      <w:r w:rsidRPr="00E54204">
        <w:rPr>
          <w:rStyle w:val="FootnoteReference"/>
        </w:rPr>
        <w:footnoteRef/>
      </w:r>
      <w:r w:rsidRPr="00E54204">
        <w:t xml:space="preserve"> These events could be referring to the events leading up to the Bar Kochba rebellion ca. 132-135 CE.  Daniel Boyarin comments that Saul Lieberman showed that the Romans did not outlaw Jewish religion but only certain practices that were considered to be conducive to rebellion, including pronouncing God’s name in public and public Torah teaching.  Cf. Daniel Boyarin, </w:t>
      </w:r>
      <w:r w:rsidRPr="00E54204">
        <w:rPr>
          <w:i/>
        </w:rPr>
        <w:t>Dying for God: Martyrdom and the Making of Christianity and Judaism</w:t>
      </w:r>
      <w:r w:rsidRPr="00E54204">
        <w:t xml:space="preserve"> (Stanford: Stanford University Press, 1999), 169, n.57.  </w:t>
      </w:r>
    </w:p>
    <w:p w14:paraId="79B914D4" w14:textId="77777777" w:rsidR="00E54204" w:rsidRPr="00E54204" w:rsidRDefault="00E54204" w:rsidP="00ED18D8">
      <w:pPr>
        <w:pStyle w:val="FootnoteText"/>
      </w:pPr>
    </w:p>
  </w:footnote>
  <w:footnote w:id="339">
    <w:p w14:paraId="4C610C70" w14:textId="77777777" w:rsidR="00E54204" w:rsidRPr="00E54204" w:rsidRDefault="00E54204" w:rsidP="00ED18D8">
      <w:pPr>
        <w:pStyle w:val="FootnoteText"/>
      </w:pPr>
      <w:r w:rsidRPr="00E54204">
        <w:rPr>
          <w:rStyle w:val="FootnoteReference"/>
        </w:rPr>
        <w:footnoteRef/>
      </w:r>
      <w:r w:rsidRPr="00E54204">
        <w:t xml:space="preserve"> Daniel Boyarin theorizes that this figure could be construed as a Christian; cf. Boyarin, </w:t>
      </w:r>
      <w:r w:rsidRPr="00E54204">
        <w:rPr>
          <w:i/>
        </w:rPr>
        <w:t>Dying</w:t>
      </w:r>
      <w:r w:rsidRPr="00E54204">
        <w:t>, 109.</w:t>
      </w:r>
    </w:p>
    <w:p w14:paraId="4227159B" w14:textId="77777777" w:rsidR="00E54204" w:rsidRPr="00E54204" w:rsidRDefault="00E54204" w:rsidP="00ED18D8">
      <w:pPr>
        <w:pStyle w:val="FootnoteText"/>
      </w:pPr>
    </w:p>
  </w:footnote>
  <w:footnote w:id="340">
    <w:p w14:paraId="7074AAE1" w14:textId="77777777" w:rsidR="00E54204" w:rsidRPr="00E54204" w:rsidRDefault="00E54204" w:rsidP="00ED18D8">
      <w:pPr>
        <w:pStyle w:val="FootnoteText"/>
      </w:pPr>
      <w:r w:rsidRPr="00E54204">
        <w:rPr>
          <w:rStyle w:val="FootnoteReference"/>
        </w:rPr>
        <w:footnoteRef/>
      </w:r>
      <w:r w:rsidRPr="00E54204">
        <w:t xml:space="preserve"> That is reciting the </w:t>
      </w:r>
      <w:r w:rsidRPr="00E54204">
        <w:rPr>
          <w:i/>
        </w:rPr>
        <w:t>Sh’ma</w:t>
      </w:r>
      <w:r w:rsidRPr="00E54204">
        <w:t>.</w:t>
      </w:r>
    </w:p>
    <w:p w14:paraId="46CC7632" w14:textId="77777777" w:rsidR="00E54204" w:rsidRPr="00E54204" w:rsidRDefault="00E54204" w:rsidP="00ED18D8">
      <w:pPr>
        <w:pStyle w:val="FootnoteText"/>
      </w:pPr>
    </w:p>
  </w:footnote>
  <w:footnote w:id="341">
    <w:p w14:paraId="2CDF2AC4" w14:textId="77777777" w:rsidR="00E54204" w:rsidRPr="00E54204" w:rsidRDefault="00E54204" w:rsidP="00ED18D8">
      <w:pPr>
        <w:pStyle w:val="FootnoteText"/>
      </w:pPr>
      <w:r w:rsidRPr="00E54204">
        <w:rPr>
          <w:rStyle w:val="FootnoteReference"/>
        </w:rPr>
        <w:footnoteRef/>
      </w:r>
      <w:r w:rsidRPr="00E54204">
        <w:t xml:space="preserve"> “One.”</w:t>
      </w:r>
    </w:p>
    <w:p w14:paraId="08786970" w14:textId="77777777" w:rsidR="00E54204" w:rsidRPr="00E54204" w:rsidRDefault="00E54204" w:rsidP="00ED18D8">
      <w:pPr>
        <w:pStyle w:val="FootnoteText"/>
      </w:pPr>
    </w:p>
  </w:footnote>
  <w:footnote w:id="342">
    <w:p w14:paraId="0E71A510" w14:textId="77777777" w:rsidR="00E54204" w:rsidRPr="00E54204" w:rsidRDefault="00E54204" w:rsidP="00ED18D8">
      <w:pPr>
        <w:pStyle w:val="FootnoteText"/>
      </w:pPr>
      <w:r w:rsidRPr="00E54204">
        <w:rPr>
          <w:rStyle w:val="FootnoteReference"/>
        </w:rPr>
        <w:footnoteRef/>
      </w:r>
      <w:r w:rsidRPr="00E54204">
        <w:t xml:space="preserve"> Psalm 17:14.</w:t>
      </w:r>
    </w:p>
    <w:p w14:paraId="38D61335" w14:textId="77777777" w:rsidR="00E54204" w:rsidRPr="00E54204" w:rsidRDefault="00E54204" w:rsidP="00ED18D8">
      <w:pPr>
        <w:pStyle w:val="FootnoteText"/>
      </w:pPr>
    </w:p>
  </w:footnote>
  <w:footnote w:id="343">
    <w:p w14:paraId="07AB9B2B" w14:textId="77777777" w:rsidR="00E54204" w:rsidRPr="00E54204" w:rsidRDefault="00E54204" w:rsidP="00ED18D8">
      <w:pPr>
        <w:pStyle w:val="FootnoteText"/>
      </w:pPr>
      <w:r w:rsidRPr="00E54204">
        <w:rPr>
          <w:rStyle w:val="FootnoteReference"/>
        </w:rPr>
        <w:footnoteRef/>
      </w:r>
      <w:r w:rsidRPr="00E54204">
        <w:t xml:space="preserve"> Psalm 17:14.</w:t>
      </w:r>
    </w:p>
    <w:p w14:paraId="5D6C7BF6" w14:textId="77777777" w:rsidR="00E54204" w:rsidRPr="00E54204" w:rsidRDefault="00E54204" w:rsidP="00ED18D8">
      <w:pPr>
        <w:pStyle w:val="FootnoteText"/>
      </w:pPr>
    </w:p>
  </w:footnote>
  <w:footnote w:id="344">
    <w:p w14:paraId="25DC872D" w14:textId="77777777" w:rsidR="00E54204" w:rsidRPr="00E54204" w:rsidRDefault="00E54204" w:rsidP="00ED18D8">
      <w:pPr>
        <w:pStyle w:val="FootnoteText"/>
      </w:pPr>
      <w:r w:rsidRPr="00E54204">
        <w:rPr>
          <w:rStyle w:val="FootnoteReference"/>
        </w:rPr>
        <w:footnoteRef/>
      </w:r>
      <w:r w:rsidRPr="00E54204">
        <w:t xml:space="preserve"> Translation from Epstein, </w:t>
      </w:r>
      <w:r w:rsidRPr="00E54204">
        <w:rPr>
          <w:i/>
        </w:rPr>
        <w:t>Hebrew</w:t>
      </w:r>
      <w:r w:rsidRPr="00E54204">
        <w:t xml:space="preserve">, </w:t>
      </w:r>
      <w:r w:rsidRPr="00E54204">
        <w:rPr>
          <w:i/>
        </w:rPr>
        <w:t xml:space="preserve">Berakhot </w:t>
      </w:r>
      <w:r w:rsidRPr="00E54204">
        <w:t>61b.</w:t>
      </w:r>
    </w:p>
    <w:p w14:paraId="183A9806" w14:textId="77777777" w:rsidR="00E54204" w:rsidRPr="00E54204" w:rsidRDefault="00E54204" w:rsidP="00ED18D8">
      <w:pPr>
        <w:pStyle w:val="FootnoteText"/>
      </w:pPr>
    </w:p>
  </w:footnote>
  <w:footnote w:id="345">
    <w:p w14:paraId="1AE6ED62" w14:textId="77777777" w:rsidR="00E54204" w:rsidRPr="00E54204" w:rsidRDefault="00E54204" w:rsidP="00ED18D8">
      <w:pPr>
        <w:pStyle w:val="FootnoteText"/>
      </w:pPr>
      <w:r w:rsidRPr="00E54204">
        <w:rPr>
          <w:rStyle w:val="FootnoteReference"/>
        </w:rPr>
        <w:footnoteRef/>
      </w:r>
      <w:r w:rsidRPr="00E54204">
        <w:t xml:space="preserve"> Polycarp, church bishop of Smyrna, is also believed to have been martyred during the second century of the Common Era, during which a voice from heaven also spoke, encouraging him to be of good cheer in his final moments.  Cf. See Kitto, </w:t>
      </w:r>
      <w:r w:rsidRPr="00E54204">
        <w:rPr>
          <w:i/>
        </w:rPr>
        <w:t>Cyclopedia</w:t>
      </w:r>
      <w:r w:rsidRPr="00E54204">
        <w:t>, 305.</w:t>
      </w:r>
    </w:p>
    <w:p w14:paraId="282D7BDB" w14:textId="77777777" w:rsidR="00E54204" w:rsidRPr="00E54204" w:rsidRDefault="00E54204" w:rsidP="00ED18D8">
      <w:pPr>
        <w:pStyle w:val="FootnoteText"/>
      </w:pPr>
    </w:p>
  </w:footnote>
  <w:footnote w:id="346">
    <w:p w14:paraId="73F53D53" w14:textId="77777777" w:rsidR="00E54204" w:rsidRPr="00E54204" w:rsidRDefault="00E54204" w:rsidP="00ED18D8">
      <w:pPr>
        <w:pStyle w:val="FootnoteText"/>
      </w:pPr>
      <w:r w:rsidRPr="00E54204">
        <w:rPr>
          <w:rStyle w:val="FootnoteReference"/>
        </w:rPr>
        <w:footnoteRef/>
      </w:r>
      <w:r w:rsidRPr="00E54204">
        <w:t xml:space="preserve"> The Tisha B’av version of the early-medieval work, </w:t>
      </w:r>
      <w:r w:rsidRPr="00E54204">
        <w:rPr>
          <w:i/>
        </w:rPr>
        <w:t>Arzey halevanon</w:t>
      </w:r>
      <w:r w:rsidRPr="00E54204">
        <w:t xml:space="preserve">, records the </w:t>
      </w:r>
      <w:r w:rsidRPr="00E54204">
        <w:rPr>
          <w:i/>
        </w:rPr>
        <w:t>bat kol</w:t>
      </w:r>
      <w:r w:rsidRPr="00E54204">
        <w:t xml:space="preserve"> as declaring, “Fortunate are you, R. Akiva, your body has been purified with every type of purity!”  This may be understood to mean that both his body and soul were purified in his last moments.</w:t>
      </w:r>
    </w:p>
    <w:p w14:paraId="223E7EE8" w14:textId="77777777" w:rsidR="00E54204" w:rsidRPr="00E54204" w:rsidRDefault="00E54204" w:rsidP="00ED18D8">
      <w:pPr>
        <w:pStyle w:val="FootnoteText"/>
      </w:pPr>
    </w:p>
  </w:footnote>
  <w:footnote w:id="347">
    <w:p w14:paraId="52975788" w14:textId="77777777" w:rsidR="00E54204" w:rsidRPr="00E54204" w:rsidRDefault="00E54204" w:rsidP="00ED18D8">
      <w:pPr>
        <w:pStyle w:val="FootnoteText"/>
      </w:pPr>
      <w:r w:rsidRPr="00E54204">
        <w:rPr>
          <w:rStyle w:val="FootnoteReference"/>
        </w:rPr>
        <w:footnoteRef/>
      </w:r>
      <w:r w:rsidRPr="00E54204">
        <w:t xml:space="preserve"> Scholars have noted Talmudic stories which ascribe prophetic-like value to a person’s final words.  The last words of R. Eliezer ben Hyrcanus is one prime example, in which he foretold the death of R. Akiva; cf. B. </w:t>
      </w:r>
      <w:r w:rsidRPr="00E54204">
        <w:rPr>
          <w:i/>
        </w:rPr>
        <w:t xml:space="preserve">Sanhedrin </w:t>
      </w:r>
      <w:r w:rsidRPr="00E54204">
        <w:t xml:space="preserve">68a. See also B. </w:t>
      </w:r>
      <w:r w:rsidRPr="00E54204">
        <w:rPr>
          <w:i/>
        </w:rPr>
        <w:t>Bava Metzia</w:t>
      </w:r>
      <w:r w:rsidRPr="00E54204">
        <w:t xml:space="preserve"> 86a, where it recounts the death of Rabbah bar Nachmani who upon dying declared the words “clean, clean” (“</w:t>
      </w:r>
      <w:r w:rsidRPr="00E54204">
        <w:rPr>
          <w:i/>
        </w:rPr>
        <w:t>tahor</w:t>
      </w:r>
      <w:r w:rsidRPr="00E54204">
        <w:t xml:space="preserve">, </w:t>
      </w:r>
      <w:r w:rsidRPr="00E54204">
        <w:rPr>
          <w:i/>
        </w:rPr>
        <w:t>tahor</w:t>
      </w:r>
      <w:r w:rsidRPr="00E54204">
        <w:t xml:space="preserve">”), where upon a </w:t>
      </w:r>
      <w:r w:rsidRPr="00E54204">
        <w:rPr>
          <w:i/>
        </w:rPr>
        <w:t>bat kol</w:t>
      </w:r>
      <w:r w:rsidRPr="00E54204">
        <w:t xml:space="preserve"> rang forth declaring him blessed because of his final words insinuating that he died clean.  The same is applied to R. Eliezer, whose last word was “clean” (</w:t>
      </w:r>
      <w:r w:rsidRPr="00E54204">
        <w:rPr>
          <w:i/>
        </w:rPr>
        <w:t>tahor</w:t>
      </w:r>
      <w:r w:rsidRPr="00E54204">
        <w:t xml:space="preserve">) upon dying.  This was interpreted by R. Joshua as marking the lifting of the ban proscribed by his peers; B. </w:t>
      </w:r>
      <w:r w:rsidRPr="00E54204">
        <w:rPr>
          <w:i/>
        </w:rPr>
        <w:t xml:space="preserve">Sanhedrin </w:t>
      </w:r>
      <w:r w:rsidRPr="00E54204">
        <w:t xml:space="preserve">68a. </w:t>
      </w:r>
    </w:p>
    <w:p w14:paraId="1305E0AA" w14:textId="77777777" w:rsidR="00E54204" w:rsidRPr="00E54204" w:rsidRDefault="00E54204" w:rsidP="00ED18D8">
      <w:pPr>
        <w:pStyle w:val="FootnoteText"/>
      </w:pPr>
    </w:p>
  </w:footnote>
  <w:footnote w:id="348">
    <w:p w14:paraId="63888E95" w14:textId="77777777" w:rsidR="00E54204" w:rsidRPr="00E54204" w:rsidRDefault="00E54204" w:rsidP="00ED18D8">
      <w:pPr>
        <w:pStyle w:val="FootnoteText"/>
      </w:pPr>
      <w:r w:rsidRPr="00E54204">
        <w:rPr>
          <w:rStyle w:val="FootnoteReference"/>
        </w:rPr>
        <w:footnoteRef/>
      </w:r>
      <w:r w:rsidRPr="00E54204">
        <w:t xml:space="preserve"> Jacob’s last blessing of his sons in Genesis 48 is espoused in prophetic-like fashion.</w:t>
      </w:r>
    </w:p>
    <w:p w14:paraId="08D2C625" w14:textId="77777777" w:rsidR="00E54204" w:rsidRPr="00E54204" w:rsidRDefault="00E54204" w:rsidP="00ED18D8">
      <w:pPr>
        <w:pStyle w:val="FootnoteText"/>
      </w:pPr>
    </w:p>
  </w:footnote>
  <w:footnote w:id="349">
    <w:p w14:paraId="19082F05" w14:textId="77777777" w:rsidR="00E54204" w:rsidRPr="00E54204" w:rsidRDefault="00E54204" w:rsidP="00ED18D8">
      <w:pPr>
        <w:pStyle w:val="FootnoteText"/>
      </w:pPr>
      <w:r w:rsidRPr="00E54204">
        <w:rPr>
          <w:rStyle w:val="FootnoteReference"/>
        </w:rPr>
        <w:footnoteRef/>
      </w:r>
      <w:r w:rsidRPr="00E54204">
        <w:t xml:space="preserve"> </w:t>
      </w:r>
      <w:r w:rsidRPr="00E54204">
        <w:rPr>
          <w:i/>
        </w:rPr>
        <w:t>Taanith</w:t>
      </w:r>
      <w:r w:rsidRPr="00E54204">
        <w:t xml:space="preserve"> means “fast.”  B. </w:t>
      </w:r>
      <w:r w:rsidRPr="00E54204">
        <w:rPr>
          <w:i/>
        </w:rPr>
        <w:t>Avodah Zarah</w:t>
      </w:r>
      <w:r w:rsidRPr="00E54204">
        <w:t xml:space="preserve"> 10b, contains a story of a Roman Ketiah bar Shallum, who sought to avoid the persecution of the Jews, only to be sentenced to death himself for such a suggestion, not before circumcising himself before being killed whereupon the </w:t>
      </w:r>
      <w:r w:rsidRPr="00E54204">
        <w:rPr>
          <w:i/>
        </w:rPr>
        <w:t xml:space="preserve">bat kol </w:t>
      </w:r>
      <w:r w:rsidRPr="00E54204">
        <w:t>rang forth declaring his entry into the world to come.</w:t>
      </w:r>
    </w:p>
    <w:p w14:paraId="6A00816B" w14:textId="77777777" w:rsidR="00E54204" w:rsidRPr="00E54204" w:rsidRDefault="00E54204" w:rsidP="00ED18D8">
      <w:pPr>
        <w:pStyle w:val="FootnoteText"/>
      </w:pPr>
    </w:p>
  </w:footnote>
  <w:footnote w:id="350">
    <w:p w14:paraId="3071E553" w14:textId="77777777" w:rsidR="00E54204" w:rsidRPr="00E54204" w:rsidRDefault="00E54204" w:rsidP="00ED18D8">
      <w:pPr>
        <w:pStyle w:val="FootnoteText"/>
      </w:pPr>
      <w:r w:rsidRPr="00E54204">
        <w:rPr>
          <w:rStyle w:val="FootnoteReference"/>
        </w:rPr>
        <w:footnoteRef/>
      </w:r>
      <w:r w:rsidRPr="00E54204">
        <w:t xml:space="preserve"> “It was taught” which occurs four times in this folio (29a).</w:t>
      </w:r>
    </w:p>
    <w:p w14:paraId="1C7779DF" w14:textId="77777777" w:rsidR="00E54204" w:rsidRPr="00E54204" w:rsidRDefault="00E54204" w:rsidP="00ED18D8">
      <w:pPr>
        <w:pStyle w:val="FootnoteText"/>
      </w:pPr>
    </w:p>
  </w:footnote>
  <w:footnote w:id="351">
    <w:p w14:paraId="2E8B15E3" w14:textId="77777777" w:rsidR="00E54204" w:rsidRPr="00E54204" w:rsidRDefault="00E54204" w:rsidP="00ED18D8">
      <w:pPr>
        <w:pStyle w:val="FootnoteText"/>
      </w:pPr>
      <w:r w:rsidRPr="00E54204">
        <w:rPr>
          <w:rStyle w:val="FootnoteReference"/>
        </w:rPr>
        <w:footnoteRef/>
      </w:r>
      <w:r w:rsidRPr="00E54204">
        <w:t xml:space="preserve"> He was the head of the Sanhedrin at Yavneh.  Adin Steinsaltz notes that despite his success in driving and organizing the rabbinic head into a supreme legislative and judicial authority, he was apparently despised and eventually deposed from his position.  Cf. Steinsaltz, </w:t>
      </w:r>
      <w:r w:rsidRPr="00E54204">
        <w:rPr>
          <w:i/>
        </w:rPr>
        <w:t>The Essential</w:t>
      </w:r>
      <w:r w:rsidRPr="00E54204">
        <w:t>, 52.</w:t>
      </w:r>
    </w:p>
    <w:p w14:paraId="28D36FF2" w14:textId="77777777" w:rsidR="00E54204" w:rsidRPr="00E54204" w:rsidRDefault="00E54204" w:rsidP="00ED18D8">
      <w:pPr>
        <w:pStyle w:val="FootnoteText"/>
      </w:pPr>
    </w:p>
  </w:footnote>
  <w:footnote w:id="352">
    <w:p w14:paraId="527A5F85" w14:textId="77777777" w:rsidR="00E54204" w:rsidRPr="00E54204" w:rsidRDefault="00E54204" w:rsidP="00ED18D8">
      <w:pPr>
        <w:pStyle w:val="FootnoteText"/>
      </w:pPr>
      <w:r w:rsidRPr="00E54204">
        <w:rPr>
          <w:rStyle w:val="FootnoteReference"/>
        </w:rPr>
        <w:footnoteRef/>
      </w:r>
      <w:r w:rsidRPr="00E54204">
        <w:t xml:space="preserve"> See B. </w:t>
      </w:r>
      <w:r w:rsidRPr="00E54204">
        <w:rPr>
          <w:i/>
        </w:rPr>
        <w:t xml:space="preserve">Avodah Zarah </w:t>
      </w:r>
      <w:r w:rsidRPr="00E54204">
        <w:t xml:space="preserve">18a where similar details and words are employed. R. Chanina ben Teradyon is seized for also occupying himself with Torah (as was the accusation of R. Akiva).  He is believed to have suffered martyrdom at the same time as R. Akiva.  Ernest Trattner dates his death during the Hadrianic persecutions in the years after 135 CE; cf. Trattner, </w:t>
      </w:r>
      <w:r w:rsidRPr="00E54204">
        <w:rPr>
          <w:i/>
        </w:rPr>
        <w:t>Understanding</w:t>
      </w:r>
      <w:r w:rsidRPr="00E54204">
        <w:t xml:space="preserve">, 99.   His executioner asks if he would assure him life in the world to come if he would hasten R. Chanina’s death.  The Rabbi swears that this will be the case.  The rabbi dies and the executioner jumps into the flames, whereupon the </w:t>
      </w:r>
      <w:r w:rsidRPr="00E54204">
        <w:rPr>
          <w:i/>
        </w:rPr>
        <w:t>bat kol</w:t>
      </w:r>
      <w:r w:rsidRPr="00E54204">
        <w:t xml:space="preserve"> declares that both of them were made ready for the world to come.</w:t>
      </w:r>
    </w:p>
    <w:p w14:paraId="3BAF4B88" w14:textId="77777777" w:rsidR="00E54204" w:rsidRPr="00E54204" w:rsidRDefault="00E54204" w:rsidP="00ED18D8">
      <w:pPr>
        <w:pStyle w:val="FootnoteText"/>
      </w:pPr>
    </w:p>
  </w:footnote>
  <w:footnote w:id="353">
    <w:p w14:paraId="4EF16E8E" w14:textId="77777777" w:rsidR="00E54204" w:rsidRPr="00E54204" w:rsidRDefault="00E54204">
      <w:pPr>
        <w:pStyle w:val="FootnoteText"/>
      </w:pPr>
      <w:r w:rsidRPr="00E54204">
        <w:rPr>
          <w:rStyle w:val="FootnoteReference"/>
        </w:rPr>
        <w:footnoteRef/>
      </w:r>
      <w:r w:rsidRPr="00E54204">
        <w:t xml:space="preserve"> According to </w:t>
      </w:r>
      <w:r w:rsidRPr="00E54204">
        <w:rPr>
          <w:i/>
        </w:rPr>
        <w:t xml:space="preserve">Eitz Yosef </w:t>
      </w:r>
      <w:r w:rsidRPr="00E54204">
        <w:t>(</w:t>
      </w:r>
      <w:r w:rsidRPr="00E54204">
        <w:rPr>
          <w:i/>
        </w:rPr>
        <w:t xml:space="preserve">Tosafos </w:t>
      </w:r>
      <w:r w:rsidRPr="00E54204">
        <w:t xml:space="preserve">to </w:t>
      </w:r>
      <w:r w:rsidRPr="00E54204">
        <w:rPr>
          <w:i/>
        </w:rPr>
        <w:t xml:space="preserve">Ketubos </w:t>
      </w:r>
      <w:r w:rsidRPr="00E54204">
        <w:t xml:space="preserve">103b) whenever the </w:t>
      </w:r>
      <w:r w:rsidRPr="00E54204">
        <w:rPr>
          <w:i/>
        </w:rPr>
        <w:t xml:space="preserve">gemara </w:t>
      </w:r>
      <w:r w:rsidRPr="00E54204">
        <w:t>or “tradition”</w:t>
      </w:r>
      <w:r w:rsidRPr="00E54204">
        <w:rPr>
          <w:i/>
        </w:rPr>
        <w:t xml:space="preserve"> </w:t>
      </w:r>
      <w:r w:rsidRPr="00E54204">
        <w:t>(i.e., rabbinical commentators in the Talmud) refer to “being made ready” this refers to avoiding a prepatory period of suffering in Gehinom.</w:t>
      </w:r>
    </w:p>
    <w:p w14:paraId="1F2B28BC" w14:textId="77777777" w:rsidR="00E54204" w:rsidRPr="00E54204" w:rsidRDefault="00E54204">
      <w:pPr>
        <w:pStyle w:val="FootnoteText"/>
      </w:pPr>
      <w:r w:rsidRPr="00E54204">
        <w:t xml:space="preserve">  </w:t>
      </w:r>
    </w:p>
  </w:footnote>
  <w:footnote w:id="354">
    <w:p w14:paraId="55C68465" w14:textId="77777777" w:rsidR="00E54204" w:rsidRPr="00E54204" w:rsidRDefault="00E54204" w:rsidP="00ED18D8">
      <w:pPr>
        <w:pStyle w:val="FootnoteText"/>
      </w:pPr>
      <w:r w:rsidRPr="00E54204">
        <w:rPr>
          <w:rStyle w:val="FootnoteReference"/>
        </w:rPr>
        <w:footnoteRef/>
      </w:r>
      <w:r w:rsidRPr="00E54204">
        <w:t xml:space="preserve"> Isaiah 22:1-2: “What ails you now that you have all gone up to the housetops, you who are full of noise, a tumultuous city, a joyous city?  Your slain men are not slain with the sword, nor dead in battle.”</w:t>
      </w:r>
    </w:p>
    <w:p w14:paraId="3BD1F733" w14:textId="77777777" w:rsidR="00E54204" w:rsidRPr="00E54204" w:rsidRDefault="00E54204" w:rsidP="00ED18D8">
      <w:pPr>
        <w:pStyle w:val="FootnoteText"/>
      </w:pPr>
    </w:p>
  </w:footnote>
  <w:footnote w:id="355">
    <w:p w14:paraId="01053792" w14:textId="77777777" w:rsidR="00E54204" w:rsidRPr="00E54204" w:rsidRDefault="00E54204" w:rsidP="00ED18D8">
      <w:pPr>
        <w:pStyle w:val="FootnoteText"/>
      </w:pPr>
      <w:r w:rsidRPr="00E54204">
        <w:rPr>
          <w:rStyle w:val="FootnoteReference"/>
        </w:rPr>
        <w:footnoteRef/>
      </w:r>
      <w:r w:rsidRPr="00E54204">
        <w:t xml:space="preserve"> Moreover, Boyarin posits “that the rabbis were anxious to justify God’s punishment of apparently righteous men via their arrest by the Roman authorities.”  Cf. Daniel Boyarin, </w:t>
      </w:r>
      <w:r w:rsidRPr="00E54204">
        <w:rPr>
          <w:i/>
        </w:rPr>
        <w:t>Dying for God: Martyrdom and the Making of Christianity and Judaism</w:t>
      </w:r>
      <w:r w:rsidRPr="00E54204">
        <w:t xml:space="preserve"> (Stanford: Stanford University Press, 1999), 52.</w:t>
      </w:r>
    </w:p>
    <w:p w14:paraId="40319FED" w14:textId="77777777" w:rsidR="00E54204" w:rsidRPr="00E54204" w:rsidRDefault="00E54204" w:rsidP="00ED18D8">
      <w:pPr>
        <w:pStyle w:val="FootnoteText"/>
      </w:pPr>
    </w:p>
  </w:footnote>
  <w:footnote w:id="356">
    <w:p w14:paraId="4AD1104E" w14:textId="77777777" w:rsidR="00E54204" w:rsidRPr="00E54204" w:rsidRDefault="00E54204">
      <w:pPr>
        <w:pStyle w:val="FootnoteText"/>
      </w:pPr>
      <w:r w:rsidRPr="00E54204">
        <w:rPr>
          <w:rStyle w:val="FootnoteReference"/>
        </w:rPr>
        <w:footnoteRef/>
      </w:r>
      <w:r w:rsidRPr="00E54204">
        <w:t xml:space="preserve"> The focus in rabbinic writings centers around Jews, however, we do find the notion that gentiles can merit entry into the “world to come.”  In T. </w:t>
      </w:r>
      <w:r w:rsidRPr="00E54204">
        <w:rPr>
          <w:i/>
        </w:rPr>
        <w:t xml:space="preserve">Sanhedrin </w:t>
      </w:r>
      <w:r w:rsidRPr="00E54204">
        <w:t>13:2, Rabbi Joshua and Rabbi Eliezer debate whether gentiles have a share in the “world to come.”  R. Joshua argued that righteous gentiles do have a place in the world to come and this became the official view of Judaism.</w:t>
      </w:r>
    </w:p>
    <w:p w14:paraId="516B5108" w14:textId="77777777" w:rsidR="00E54204" w:rsidRPr="00E54204" w:rsidRDefault="00E54204">
      <w:pPr>
        <w:pStyle w:val="FootnoteText"/>
      </w:pPr>
    </w:p>
  </w:footnote>
  <w:footnote w:id="357">
    <w:p w14:paraId="1D1091CD" w14:textId="77777777" w:rsidR="00E54204" w:rsidRPr="00E54204" w:rsidRDefault="00E54204" w:rsidP="00ED18D8">
      <w:pPr>
        <w:pStyle w:val="FootnoteText"/>
      </w:pPr>
      <w:r w:rsidRPr="00E54204">
        <w:rPr>
          <w:rStyle w:val="FootnoteReference"/>
        </w:rPr>
        <w:footnoteRef/>
      </w:r>
      <w:r w:rsidRPr="00E54204">
        <w:t xml:space="preserve"> These references are:  B. </w:t>
      </w:r>
      <w:r w:rsidRPr="00E54204">
        <w:rPr>
          <w:i/>
        </w:rPr>
        <w:t xml:space="preserve">Eruvin </w:t>
      </w:r>
      <w:r w:rsidRPr="00E54204">
        <w:t xml:space="preserve">54b, where R. Preida is offered the choice between four hundred more years of life or entrance into the world to come for him and his generation; he chooses the latter but is awarded both by God.  B. M.K. 9a, where Israel failed to observe Yom Kippur in the year that Solomon dedicated the Temple, to which the </w:t>
      </w:r>
      <w:r w:rsidRPr="00E54204">
        <w:rPr>
          <w:i/>
        </w:rPr>
        <w:t>bat kol</w:t>
      </w:r>
      <w:r w:rsidRPr="00E54204">
        <w:t xml:space="preserve"> assured all of Israel that they are prepared for the world to come.  And lastly, B. </w:t>
      </w:r>
      <w:r w:rsidRPr="00E54204">
        <w:rPr>
          <w:i/>
        </w:rPr>
        <w:t xml:space="preserve">Sanhedrin </w:t>
      </w:r>
      <w:r w:rsidRPr="00E54204">
        <w:t xml:space="preserve">104b, that depicts David interceding for his son, Solomon, before the great assembly.  The issue was whether Solomon was deemed worthy to enter the world to come.  Finally, the judges accept upon the </w:t>
      </w:r>
      <w:r w:rsidRPr="00E54204">
        <w:rPr>
          <w:i/>
        </w:rPr>
        <w:t>bat kol</w:t>
      </w:r>
      <w:r w:rsidRPr="00E54204">
        <w:t xml:space="preserve"> reminding them of the limit of their jurisdiction.  There is another story, which rather than affirming entry into the world to come, excludes it for an individual, namely Elisha ben Abuyah; cf. B. </w:t>
      </w:r>
      <w:r w:rsidRPr="00E54204">
        <w:rPr>
          <w:i/>
        </w:rPr>
        <w:t xml:space="preserve">Chagigah </w:t>
      </w:r>
      <w:r w:rsidRPr="00E54204">
        <w:t>15a.</w:t>
      </w:r>
    </w:p>
    <w:p w14:paraId="1FB61C8C" w14:textId="77777777" w:rsidR="00E54204" w:rsidRPr="00E54204" w:rsidRDefault="00E54204" w:rsidP="00ED18D8">
      <w:pPr>
        <w:pStyle w:val="FootnoteText"/>
      </w:pPr>
    </w:p>
  </w:footnote>
  <w:footnote w:id="358">
    <w:p w14:paraId="2871EDBE" w14:textId="77777777" w:rsidR="00E54204" w:rsidRPr="00E54204" w:rsidRDefault="00E54204" w:rsidP="00ED18D8">
      <w:pPr>
        <w:pStyle w:val="FootnoteText"/>
      </w:pPr>
      <w:r w:rsidRPr="00E54204">
        <w:rPr>
          <w:rStyle w:val="FootnoteReference"/>
        </w:rPr>
        <w:footnoteRef/>
      </w:r>
      <w:r w:rsidRPr="00E54204">
        <w:t xml:space="preserve"> Z.H. Chajes, </w:t>
      </w:r>
      <w:r w:rsidRPr="00E54204">
        <w:rPr>
          <w:i/>
        </w:rPr>
        <w:t xml:space="preserve">The Student’s Guide through the Talmud </w:t>
      </w:r>
      <w:r w:rsidRPr="00E54204">
        <w:t>(New York: Phillip Feldheim, 1960), 164.</w:t>
      </w:r>
    </w:p>
    <w:p w14:paraId="35BA656B" w14:textId="77777777" w:rsidR="00E54204" w:rsidRPr="00E54204" w:rsidRDefault="00E54204" w:rsidP="00ED18D8">
      <w:pPr>
        <w:pStyle w:val="FootnoteText"/>
      </w:pPr>
    </w:p>
  </w:footnote>
  <w:footnote w:id="359">
    <w:p w14:paraId="4AD19A14" w14:textId="77777777" w:rsidR="00E54204" w:rsidRPr="00E54204" w:rsidRDefault="00E54204" w:rsidP="00ED18D8">
      <w:pPr>
        <w:pStyle w:val="FootnoteText"/>
      </w:pPr>
      <w:r w:rsidRPr="00E54204">
        <w:rPr>
          <w:rStyle w:val="FootnoteReference"/>
        </w:rPr>
        <w:footnoteRef/>
      </w:r>
      <w:r w:rsidRPr="00E54204">
        <w:t xml:space="preserve"> B. Ber.</w:t>
      </w:r>
      <w:r w:rsidRPr="00E54204">
        <w:rPr>
          <w:i/>
        </w:rPr>
        <w:t xml:space="preserve"> </w:t>
      </w:r>
      <w:r w:rsidRPr="00E54204">
        <w:t xml:space="preserve">17b, B. </w:t>
      </w:r>
      <w:r w:rsidRPr="00E54204">
        <w:rPr>
          <w:i/>
        </w:rPr>
        <w:t xml:space="preserve">Taanit </w:t>
      </w:r>
      <w:r w:rsidRPr="00E54204">
        <w:t xml:space="preserve">24b, B. </w:t>
      </w:r>
      <w:r w:rsidRPr="00E54204">
        <w:rPr>
          <w:i/>
        </w:rPr>
        <w:t xml:space="preserve">Chullin </w:t>
      </w:r>
      <w:r w:rsidRPr="00E54204">
        <w:t>86a.  Each account contains the phrase. “The whole world is sustained for the sake of my son Hanina, and Hanina my son has to subsist on a </w:t>
      </w:r>
      <w:r w:rsidRPr="00E54204">
        <w:rPr>
          <w:i/>
          <w:iCs/>
        </w:rPr>
        <w:t>kab</w:t>
      </w:r>
      <w:r w:rsidRPr="00E54204">
        <w:t xml:space="preserve"> of carobs from one week end to the next.”  A </w:t>
      </w:r>
      <w:r w:rsidRPr="00E54204">
        <w:rPr>
          <w:i/>
        </w:rPr>
        <w:t>kav</w:t>
      </w:r>
      <w:r w:rsidRPr="00E54204">
        <w:t xml:space="preserve"> is the equivalent in volume of two dozen eggs and were generally eaten during the Sabbatical year or years in which there were scarce crops.  Cf. Jacob Howland, </w:t>
      </w:r>
      <w:r w:rsidRPr="00E54204">
        <w:rPr>
          <w:i/>
        </w:rPr>
        <w:t>Plato and the Talmud</w:t>
      </w:r>
      <w:r w:rsidRPr="00E54204">
        <w:t xml:space="preserve"> (Cambridge: Cambridge University Press, 2011), 242.  The emphasis of the phrase “My son” is reminiscent of the Gospel stories portraying a heavenly voice affirming Jesus in like fashion (cf. Mat. 3:16; Luke 3:21-22; John 1:32).  In addition, Hanina b. Dosa was considered to be a holy man and miracle worker, such as the time he prayed for and healed R. Yohanan ben Zakkai’s sick son.  Cf. B. Ber. 34b.</w:t>
      </w:r>
    </w:p>
    <w:p w14:paraId="6610D3CB" w14:textId="77777777" w:rsidR="00E54204" w:rsidRPr="00E54204" w:rsidRDefault="00E54204" w:rsidP="00ED18D8">
      <w:pPr>
        <w:pStyle w:val="FootnoteText"/>
      </w:pPr>
    </w:p>
  </w:footnote>
  <w:footnote w:id="360">
    <w:p w14:paraId="2E9A0D7B" w14:textId="77777777" w:rsidR="00E54204" w:rsidRPr="00E54204" w:rsidRDefault="00E54204" w:rsidP="00ED18D8">
      <w:pPr>
        <w:pStyle w:val="FootnoteText"/>
      </w:pPr>
      <w:r w:rsidRPr="00E54204">
        <w:rPr>
          <w:rStyle w:val="FootnoteReference"/>
        </w:rPr>
        <w:footnoteRef/>
      </w:r>
      <w:r w:rsidRPr="00E54204">
        <w:t xml:space="preserve">  Based on the suggestions of scholars like Baruch Bokser, the rabbis could have portrayed R. Hanina b. Dosa in the same manner in which they viewed themselves.  Earlier depictions in rabbinic literature convey him as a rural wonder worker and in the Yerushalmi as a rabbi/sage figure, concurrent with how the editors may have viewed themselves.  Cf. Byron L. Sherwin, </w:t>
      </w:r>
      <w:r w:rsidRPr="00E54204">
        <w:rPr>
          <w:i/>
        </w:rPr>
        <w:t>Workers of Wonders: a Model for Effective Religious Leadership from Scripture to Today</w:t>
      </w:r>
      <w:r w:rsidRPr="00E54204">
        <w:t xml:space="preserve"> (Lanham, MD: Rowman &amp; Littlefield Publishers, 2004), 39.</w:t>
      </w:r>
    </w:p>
    <w:p w14:paraId="6703EF63" w14:textId="77777777" w:rsidR="00E54204" w:rsidRPr="00E54204" w:rsidRDefault="00E54204" w:rsidP="00ED18D8">
      <w:pPr>
        <w:pStyle w:val="FootnoteText"/>
      </w:pPr>
    </w:p>
  </w:footnote>
  <w:footnote w:id="361">
    <w:p w14:paraId="1D03A2A7" w14:textId="77777777" w:rsidR="00E54204" w:rsidRPr="00E54204" w:rsidRDefault="00E54204" w:rsidP="00ED18D8">
      <w:pPr>
        <w:pStyle w:val="FootnoteText"/>
      </w:pPr>
      <w:r w:rsidRPr="00E54204">
        <w:rPr>
          <w:rStyle w:val="FootnoteReference"/>
        </w:rPr>
        <w:footnoteRef/>
      </w:r>
      <w:r w:rsidRPr="00E54204">
        <w:t xml:space="preserve"> Also recorded in Tosefta </w:t>
      </w:r>
      <w:r w:rsidRPr="00E54204">
        <w:rPr>
          <w:i/>
        </w:rPr>
        <w:t xml:space="preserve">Sotah </w:t>
      </w:r>
      <w:r w:rsidRPr="00E54204">
        <w:t>13:5.</w:t>
      </w:r>
    </w:p>
    <w:p w14:paraId="2F83938C" w14:textId="77777777" w:rsidR="00E54204" w:rsidRPr="00E54204" w:rsidRDefault="00E54204" w:rsidP="00ED18D8">
      <w:pPr>
        <w:pStyle w:val="FootnoteText"/>
      </w:pPr>
    </w:p>
  </w:footnote>
  <w:footnote w:id="362">
    <w:p w14:paraId="65C02225" w14:textId="77777777" w:rsidR="00E54204" w:rsidRPr="00E54204" w:rsidRDefault="00E54204" w:rsidP="00ED18D8">
      <w:pPr>
        <w:pStyle w:val="FootnoteText"/>
      </w:pPr>
      <w:r w:rsidRPr="00E54204">
        <w:rPr>
          <w:rStyle w:val="FootnoteReference"/>
        </w:rPr>
        <w:footnoteRef/>
      </w:r>
      <w:r w:rsidRPr="00E54204">
        <w:t xml:space="preserve"> The </w:t>
      </w:r>
      <w:r w:rsidRPr="00E54204">
        <w:rPr>
          <w:i/>
        </w:rPr>
        <w:t xml:space="preserve">Urim </w:t>
      </w:r>
      <w:r w:rsidRPr="00E54204">
        <w:t xml:space="preserve">and </w:t>
      </w:r>
      <w:r w:rsidRPr="00E54204">
        <w:rPr>
          <w:i/>
        </w:rPr>
        <w:t xml:space="preserve">Thummim </w:t>
      </w:r>
      <w:r w:rsidRPr="00E54204">
        <w:t>were lots used by the priests to discern God’s will on various matters.  Cf. Exodus 28:30; Num. 27:21; I Sam. 28:6.</w:t>
      </w:r>
    </w:p>
    <w:p w14:paraId="16EADFCD" w14:textId="77777777" w:rsidR="00E54204" w:rsidRPr="00E54204" w:rsidRDefault="00E54204" w:rsidP="00ED18D8">
      <w:pPr>
        <w:pStyle w:val="FootnoteText"/>
      </w:pPr>
    </w:p>
  </w:footnote>
  <w:footnote w:id="363">
    <w:p w14:paraId="4B9886B3" w14:textId="77777777" w:rsidR="00E54204" w:rsidRPr="00E54204" w:rsidRDefault="00E54204" w:rsidP="00ED18D8">
      <w:pPr>
        <w:pStyle w:val="FootnoteText"/>
      </w:pPr>
      <w:r w:rsidRPr="00E54204">
        <w:rPr>
          <w:rStyle w:val="FootnoteReference"/>
        </w:rPr>
        <w:footnoteRef/>
      </w:r>
      <w:r w:rsidRPr="00E54204">
        <w:t xml:space="preserve"> This statement and subsequent story are found in T. (Tosefta) </w:t>
      </w:r>
      <w:r w:rsidRPr="00E54204">
        <w:rPr>
          <w:i/>
        </w:rPr>
        <w:t>Sotah</w:t>
      </w:r>
      <w:r w:rsidRPr="00E54204">
        <w:t xml:space="preserve"> 13:4, 5.</w:t>
      </w:r>
    </w:p>
    <w:p w14:paraId="357468F4" w14:textId="77777777" w:rsidR="00E54204" w:rsidRPr="00E54204" w:rsidRDefault="00E54204" w:rsidP="00ED18D8">
      <w:pPr>
        <w:pStyle w:val="FootnoteText"/>
      </w:pPr>
    </w:p>
  </w:footnote>
  <w:footnote w:id="364">
    <w:p w14:paraId="4DEB3002" w14:textId="77777777" w:rsidR="00E54204" w:rsidRPr="00E54204" w:rsidRDefault="00E54204" w:rsidP="00ED18D8">
      <w:pPr>
        <w:pStyle w:val="FootnoteText"/>
      </w:pPr>
      <w:r w:rsidRPr="00E54204">
        <w:rPr>
          <w:rStyle w:val="FootnoteReference"/>
        </w:rPr>
        <w:footnoteRef/>
      </w:r>
      <w:r w:rsidRPr="00E54204">
        <w:t xml:space="preserve"> Also spelled Yavneh or Yamnia.</w:t>
      </w:r>
    </w:p>
    <w:p w14:paraId="529D8E9F" w14:textId="77777777" w:rsidR="00E54204" w:rsidRPr="00E54204" w:rsidRDefault="00E54204" w:rsidP="00ED18D8">
      <w:pPr>
        <w:pStyle w:val="FootnoteText"/>
      </w:pPr>
    </w:p>
  </w:footnote>
  <w:footnote w:id="365">
    <w:p w14:paraId="0175580F" w14:textId="77777777" w:rsidR="00E54204" w:rsidRPr="00E54204" w:rsidRDefault="00E54204" w:rsidP="00ED18D8">
      <w:pPr>
        <w:pStyle w:val="FootnoteText"/>
      </w:pPr>
      <w:r w:rsidRPr="00E54204">
        <w:rPr>
          <w:rStyle w:val="FootnoteReference"/>
        </w:rPr>
        <w:footnoteRef/>
      </w:r>
      <w:r w:rsidRPr="00E54204">
        <w:t xml:space="preserve"> Disciple of Hillel, who died shortly after the destruction of the Second Temple.</w:t>
      </w:r>
    </w:p>
    <w:p w14:paraId="0DBFF951" w14:textId="77777777" w:rsidR="00E54204" w:rsidRPr="00E54204" w:rsidRDefault="00E54204" w:rsidP="00ED18D8">
      <w:pPr>
        <w:pStyle w:val="FootnoteText"/>
      </w:pPr>
    </w:p>
  </w:footnote>
  <w:footnote w:id="366">
    <w:p w14:paraId="18CC3EF1" w14:textId="77777777" w:rsidR="00E54204" w:rsidRPr="00E54204" w:rsidRDefault="00E54204" w:rsidP="00ED18D8">
      <w:pPr>
        <w:pStyle w:val="FootnoteText"/>
        <w:rPr>
          <w:bCs/>
          <w:iCs/>
        </w:rPr>
      </w:pPr>
      <w:r w:rsidRPr="00E54204">
        <w:rPr>
          <w:rStyle w:val="FootnoteReference"/>
        </w:rPr>
        <w:footnoteRef/>
      </w:r>
      <w:r w:rsidRPr="00E54204">
        <w:t xml:space="preserve"> The Soncino commentary considers this sage to be another victim of the Hadrianic persecutions; cf. Isidore Epstein, </w:t>
      </w:r>
      <w:r w:rsidRPr="00E54204">
        <w:rPr>
          <w:bCs/>
          <w:i/>
          <w:iCs/>
        </w:rPr>
        <w:t xml:space="preserve">Hebrew-English edition of the Babylonian Talmud </w:t>
      </w:r>
      <w:r w:rsidRPr="00E54204">
        <w:rPr>
          <w:bCs/>
          <w:iCs/>
        </w:rPr>
        <w:t xml:space="preserve">(London: Soncino, 1960), </w:t>
      </w:r>
      <w:r w:rsidRPr="00E54204">
        <w:rPr>
          <w:bCs/>
          <w:i/>
          <w:iCs/>
        </w:rPr>
        <w:t>Sotah</w:t>
      </w:r>
      <w:r w:rsidRPr="00E54204">
        <w:rPr>
          <w:bCs/>
          <w:iCs/>
        </w:rPr>
        <w:t xml:space="preserve"> 48b, n.15.</w:t>
      </w:r>
    </w:p>
    <w:p w14:paraId="6E977076" w14:textId="77777777" w:rsidR="00E54204" w:rsidRPr="00E54204" w:rsidRDefault="00E54204" w:rsidP="00ED18D8">
      <w:pPr>
        <w:pStyle w:val="FootnoteText"/>
      </w:pPr>
    </w:p>
  </w:footnote>
  <w:footnote w:id="367">
    <w:p w14:paraId="42C25D4F" w14:textId="77777777" w:rsidR="00E54204" w:rsidRPr="00E54204" w:rsidRDefault="00E54204" w:rsidP="00ED18D8">
      <w:pPr>
        <w:pStyle w:val="FootnoteText"/>
        <w:rPr>
          <w:bCs/>
          <w:iCs/>
        </w:rPr>
      </w:pPr>
      <w:r w:rsidRPr="00E54204">
        <w:rPr>
          <w:rStyle w:val="FootnoteReference"/>
        </w:rPr>
        <w:footnoteRef/>
      </w:r>
      <w:r w:rsidRPr="00E54204">
        <w:t xml:space="preserve"> Translation from Epstein, </w:t>
      </w:r>
      <w:r w:rsidRPr="00E54204">
        <w:rPr>
          <w:i/>
        </w:rPr>
        <w:t>Hebrew-English</w:t>
      </w:r>
      <w:r w:rsidRPr="00E54204">
        <w:t xml:space="preserve">, </w:t>
      </w:r>
      <w:r w:rsidRPr="00E54204">
        <w:rPr>
          <w:bCs/>
          <w:i/>
          <w:iCs/>
        </w:rPr>
        <w:t>Sotah</w:t>
      </w:r>
      <w:r w:rsidRPr="00E54204">
        <w:rPr>
          <w:bCs/>
          <w:iCs/>
        </w:rPr>
        <w:t xml:space="preserve"> 48b.</w:t>
      </w:r>
    </w:p>
    <w:p w14:paraId="35827A4A" w14:textId="77777777" w:rsidR="00E54204" w:rsidRPr="00E54204" w:rsidRDefault="00E54204" w:rsidP="00ED18D8">
      <w:pPr>
        <w:pStyle w:val="FootnoteText"/>
      </w:pPr>
    </w:p>
  </w:footnote>
  <w:footnote w:id="368">
    <w:p w14:paraId="699A3382" w14:textId="77777777" w:rsidR="00E54204" w:rsidRPr="00E54204" w:rsidRDefault="00E54204" w:rsidP="00ED18D8">
      <w:pPr>
        <w:pStyle w:val="FootnoteText"/>
      </w:pPr>
      <w:r w:rsidRPr="00E54204">
        <w:rPr>
          <w:rStyle w:val="FootnoteReference"/>
        </w:rPr>
        <w:footnoteRef/>
      </w:r>
      <w:r w:rsidRPr="00E54204">
        <w:t xml:space="preserve"> He lived from about the end of the second century BCE to the first century CE.</w:t>
      </w:r>
    </w:p>
    <w:p w14:paraId="5BB6FF21" w14:textId="77777777" w:rsidR="00E54204" w:rsidRPr="00E54204" w:rsidRDefault="00E54204" w:rsidP="00ED18D8">
      <w:pPr>
        <w:pStyle w:val="FootnoteText"/>
      </w:pPr>
    </w:p>
  </w:footnote>
  <w:footnote w:id="369">
    <w:p w14:paraId="16668D53" w14:textId="77777777" w:rsidR="00E54204" w:rsidRPr="00E54204" w:rsidRDefault="00E54204" w:rsidP="00ED18D8">
      <w:pPr>
        <w:pStyle w:val="FootnoteText"/>
        <w:rPr>
          <w:bCs/>
          <w:iCs/>
        </w:rPr>
      </w:pPr>
      <w:r w:rsidRPr="00E54204">
        <w:rPr>
          <w:rStyle w:val="FootnoteReference"/>
        </w:rPr>
        <w:footnoteRef/>
      </w:r>
      <w:r w:rsidRPr="00E54204">
        <w:t xml:space="preserve"> Epstein, </w:t>
      </w:r>
      <w:r w:rsidRPr="00E54204">
        <w:rPr>
          <w:i/>
        </w:rPr>
        <w:t>Hebrew-English</w:t>
      </w:r>
      <w:r w:rsidRPr="00E54204">
        <w:t>, “</w:t>
      </w:r>
      <w:r w:rsidRPr="00E54204">
        <w:rPr>
          <w:bCs/>
          <w:iCs/>
        </w:rPr>
        <w:t>Hillel.”</w:t>
      </w:r>
    </w:p>
    <w:p w14:paraId="7748780C" w14:textId="77777777" w:rsidR="00E54204" w:rsidRPr="00E54204" w:rsidRDefault="00E54204" w:rsidP="00ED18D8">
      <w:pPr>
        <w:pStyle w:val="FootnoteText"/>
      </w:pPr>
    </w:p>
  </w:footnote>
  <w:footnote w:id="370">
    <w:p w14:paraId="32326ED4" w14:textId="77777777" w:rsidR="00E54204" w:rsidRPr="00E54204" w:rsidRDefault="00E54204" w:rsidP="00ED18D8">
      <w:pPr>
        <w:pStyle w:val="FootnoteText"/>
        <w:rPr>
          <w:bCs/>
          <w:iCs/>
        </w:rPr>
      </w:pPr>
      <w:r w:rsidRPr="00E54204">
        <w:rPr>
          <w:rStyle w:val="FootnoteReference"/>
        </w:rPr>
        <w:footnoteRef/>
      </w:r>
      <w:r w:rsidRPr="00E54204">
        <w:t xml:space="preserve"> Apparently the Talmud records over 300 differences of opinions between these two schools.  See Epstein, </w:t>
      </w:r>
      <w:r w:rsidRPr="00E54204">
        <w:rPr>
          <w:i/>
        </w:rPr>
        <w:t>Hebrew-English</w:t>
      </w:r>
      <w:r w:rsidRPr="00E54204">
        <w:t>, “</w:t>
      </w:r>
      <w:r w:rsidRPr="00E54204">
        <w:rPr>
          <w:bCs/>
          <w:iCs/>
        </w:rPr>
        <w:t>Hillel.”</w:t>
      </w:r>
    </w:p>
    <w:p w14:paraId="53D28844" w14:textId="77777777" w:rsidR="00E54204" w:rsidRPr="00E54204" w:rsidRDefault="00E54204" w:rsidP="00ED18D8">
      <w:pPr>
        <w:pStyle w:val="FootnoteText"/>
      </w:pPr>
    </w:p>
  </w:footnote>
  <w:footnote w:id="371">
    <w:p w14:paraId="4EC27CF5" w14:textId="77777777" w:rsidR="00E54204" w:rsidRPr="00E54204" w:rsidRDefault="00E54204" w:rsidP="00ED18D8">
      <w:pPr>
        <w:pStyle w:val="FootnoteText"/>
      </w:pPr>
      <w:r w:rsidRPr="00E54204">
        <w:rPr>
          <w:rStyle w:val="FootnoteReference"/>
        </w:rPr>
        <w:footnoteRef/>
      </w:r>
      <w:r w:rsidRPr="00E54204">
        <w:t xml:space="preserve"> See B. </w:t>
      </w:r>
      <w:r w:rsidRPr="00E54204">
        <w:rPr>
          <w:i/>
        </w:rPr>
        <w:t xml:space="preserve">Sanhedrin </w:t>
      </w:r>
      <w:r w:rsidRPr="00E54204">
        <w:t>11a where he humiliates himself in order to save another embarrassment.</w:t>
      </w:r>
    </w:p>
    <w:p w14:paraId="16409E32" w14:textId="77777777" w:rsidR="00E54204" w:rsidRPr="00E54204" w:rsidRDefault="00E54204" w:rsidP="00ED18D8">
      <w:pPr>
        <w:pStyle w:val="FootnoteText"/>
      </w:pPr>
    </w:p>
  </w:footnote>
  <w:footnote w:id="372">
    <w:p w14:paraId="480199D0" w14:textId="77777777" w:rsidR="00E54204" w:rsidRPr="00E54204" w:rsidRDefault="00E54204" w:rsidP="00ED18D8">
      <w:pPr>
        <w:pStyle w:val="FootnoteText"/>
      </w:pPr>
      <w:r w:rsidRPr="00E54204">
        <w:rPr>
          <w:rStyle w:val="FootnoteReference"/>
        </w:rPr>
        <w:footnoteRef/>
      </w:r>
      <w:r w:rsidRPr="00E54204">
        <w:t xml:space="preserve"> M. </w:t>
      </w:r>
      <w:r w:rsidRPr="00E54204">
        <w:rPr>
          <w:i/>
        </w:rPr>
        <w:t>Sotah</w:t>
      </w:r>
      <w:r w:rsidRPr="00E54204">
        <w:t xml:space="preserve"> 9:15.</w:t>
      </w:r>
    </w:p>
    <w:p w14:paraId="00769C81" w14:textId="77777777" w:rsidR="00E54204" w:rsidRPr="00E54204" w:rsidRDefault="00E54204" w:rsidP="00ED18D8">
      <w:pPr>
        <w:pStyle w:val="FootnoteText"/>
      </w:pPr>
    </w:p>
  </w:footnote>
  <w:footnote w:id="373">
    <w:p w14:paraId="615EAF78" w14:textId="77777777" w:rsidR="00E54204" w:rsidRPr="00E54204" w:rsidRDefault="00E54204" w:rsidP="00ED18D8">
      <w:pPr>
        <w:pStyle w:val="FootnoteText"/>
      </w:pPr>
      <w:r w:rsidRPr="00E54204">
        <w:rPr>
          <w:rStyle w:val="FootnoteReference"/>
        </w:rPr>
        <w:footnoteRef/>
      </w:r>
      <w:r w:rsidRPr="00E54204">
        <w:t xml:space="preserve"> An enlightening text is B. </w:t>
      </w:r>
      <w:r w:rsidRPr="00E54204">
        <w:rPr>
          <w:i/>
        </w:rPr>
        <w:t xml:space="preserve">Sukkah </w:t>
      </w:r>
      <w:r w:rsidRPr="00E54204">
        <w:t>28a, where we read that Hillel had eighty disciples and that thirty of them were worthy to have the Divine Presence (</w:t>
      </w:r>
      <w:r w:rsidRPr="00E54204">
        <w:rPr>
          <w:i/>
        </w:rPr>
        <w:t>Shechinah</w:t>
      </w:r>
      <w:r w:rsidRPr="00E54204">
        <w:t>)</w:t>
      </w:r>
      <w:r w:rsidRPr="00E54204">
        <w:rPr>
          <w:i/>
        </w:rPr>
        <w:t xml:space="preserve"> </w:t>
      </w:r>
      <w:r w:rsidRPr="00E54204">
        <w:t>rest on them as it did upon Moses “our” teacher.  It appears to be this same imagery that is being alluded to in reference to these two men.  In other words, perhaps it was the view of the writers to compare Hillel the Elder and Samuel the Small with Moses, the great teacher.</w:t>
      </w:r>
    </w:p>
    <w:p w14:paraId="087E67B0" w14:textId="77777777" w:rsidR="00E54204" w:rsidRPr="00E54204" w:rsidRDefault="00E54204" w:rsidP="00ED18D8">
      <w:pPr>
        <w:pStyle w:val="FootnoteText"/>
      </w:pPr>
      <w:r w:rsidRPr="00E54204">
        <w:t xml:space="preserve"> </w:t>
      </w:r>
    </w:p>
  </w:footnote>
  <w:footnote w:id="374">
    <w:p w14:paraId="745C88C0" w14:textId="77777777" w:rsidR="00E54204" w:rsidRPr="00E54204" w:rsidRDefault="00E54204" w:rsidP="00ED18D8">
      <w:pPr>
        <w:pStyle w:val="FootnoteText"/>
      </w:pPr>
      <w:r w:rsidRPr="00E54204">
        <w:rPr>
          <w:rStyle w:val="FootnoteReference"/>
        </w:rPr>
        <w:footnoteRef/>
      </w:r>
      <w:r w:rsidRPr="00E54204">
        <w:t xml:space="preserve"> T. (Tosefta) </w:t>
      </w:r>
      <w:r w:rsidRPr="00E54204">
        <w:rPr>
          <w:i/>
        </w:rPr>
        <w:t>Sotah</w:t>
      </w:r>
      <w:r w:rsidRPr="00E54204">
        <w:t xml:space="preserve"> 13:4, 5.</w:t>
      </w:r>
    </w:p>
    <w:p w14:paraId="1CF72856" w14:textId="77777777" w:rsidR="00E54204" w:rsidRPr="00E54204" w:rsidRDefault="00E54204" w:rsidP="00ED18D8">
      <w:pPr>
        <w:pStyle w:val="FootnoteText"/>
      </w:pPr>
    </w:p>
  </w:footnote>
  <w:footnote w:id="375">
    <w:p w14:paraId="50D32503" w14:textId="77777777" w:rsidR="00E54204" w:rsidRPr="00E54204" w:rsidRDefault="00E54204" w:rsidP="00ED18D8">
      <w:pPr>
        <w:pStyle w:val="FootnoteText"/>
      </w:pPr>
      <w:r w:rsidRPr="00E54204">
        <w:rPr>
          <w:rStyle w:val="FootnoteReference"/>
        </w:rPr>
        <w:footnoteRef/>
      </w:r>
      <w:r w:rsidRPr="00E54204">
        <w:t xml:space="preserve"> Tosefta refers to a collection of </w:t>
      </w:r>
      <w:r w:rsidRPr="00E54204">
        <w:rPr>
          <w:i/>
        </w:rPr>
        <w:t>Halacha</w:t>
      </w:r>
      <w:r w:rsidRPr="00E54204">
        <w:t xml:space="preserve"> which was compiled by the last </w:t>
      </w:r>
      <w:r w:rsidRPr="00E54204">
        <w:rPr>
          <w:i/>
        </w:rPr>
        <w:t>Tannaim</w:t>
      </w:r>
      <w:r w:rsidRPr="00E54204">
        <w:t xml:space="preserve"> (ca. 200-220 CE), R. Hiyya and R. Osha’aya, as additions to the Mishnah.  Cf. Adin Steinsaltz, </w:t>
      </w:r>
      <w:r w:rsidRPr="00E54204">
        <w:rPr>
          <w:i/>
        </w:rPr>
        <w:t xml:space="preserve">Talmudic Images </w:t>
      </w:r>
      <w:r w:rsidRPr="00E54204">
        <w:t>(Northvale, NJ: Jason Aronson, 1997), 165.</w:t>
      </w:r>
    </w:p>
    <w:p w14:paraId="4F3FBFA7" w14:textId="77777777" w:rsidR="00E54204" w:rsidRPr="00E54204" w:rsidRDefault="00E54204" w:rsidP="00ED18D8">
      <w:pPr>
        <w:pStyle w:val="FootnoteText"/>
      </w:pPr>
    </w:p>
  </w:footnote>
  <w:footnote w:id="376">
    <w:p w14:paraId="5BA84228" w14:textId="77777777" w:rsidR="00E54204" w:rsidRPr="00E54204" w:rsidRDefault="00E54204" w:rsidP="00ED18D8">
      <w:pPr>
        <w:pStyle w:val="FootnoteText"/>
      </w:pPr>
      <w:r w:rsidRPr="00E54204">
        <w:rPr>
          <w:rStyle w:val="FootnoteReference"/>
        </w:rPr>
        <w:footnoteRef/>
      </w:r>
      <w:r w:rsidRPr="00E54204">
        <w:t>One cannot help notice similarities in terminology between this account and the Gospels’ description of the Holy Spirit descending upon Jesus in the likeness of a dove (cf. Mat. 3:16; Luke 3:21-22; John 1:32).  Both make mention of a voice from heaven and both make reference to the divine presence resting over individuals.  This may this detail may represent a shared understanding of God’s Sprit in the Second Temple period.  Furthermore, there may be a connection with the reference in Genesis 1:2 with the Spirit of God “hovering” (</w:t>
      </w:r>
      <w:r w:rsidRPr="00E54204">
        <w:rPr>
          <w:i/>
        </w:rPr>
        <w:t>merachefet</w:t>
      </w:r>
      <w:r w:rsidRPr="00E54204">
        <w:t>), denoting intensity in the Hebrew.  Thus, this image is perhaps akin to a hovering hummingbird.</w:t>
      </w:r>
    </w:p>
    <w:p w14:paraId="60FEE639" w14:textId="77777777" w:rsidR="00E54204" w:rsidRPr="00E54204" w:rsidRDefault="00E54204" w:rsidP="00ED18D8">
      <w:pPr>
        <w:pStyle w:val="FootnoteText"/>
      </w:pPr>
    </w:p>
  </w:footnote>
  <w:footnote w:id="377">
    <w:p w14:paraId="2DD315EA" w14:textId="77777777" w:rsidR="00E54204" w:rsidRPr="00E54204" w:rsidRDefault="00E54204" w:rsidP="00ED18D8">
      <w:pPr>
        <w:pStyle w:val="FootnoteText"/>
      </w:pPr>
      <w:r w:rsidRPr="00E54204">
        <w:rPr>
          <w:rStyle w:val="FootnoteReference"/>
        </w:rPr>
        <w:footnoteRef/>
      </w:r>
      <w:r w:rsidRPr="00E54204">
        <w:t xml:space="preserve"> See Exodus 34:29-35.</w:t>
      </w:r>
    </w:p>
    <w:p w14:paraId="15FC797E" w14:textId="77777777" w:rsidR="00E54204" w:rsidRPr="00E54204" w:rsidRDefault="00E54204" w:rsidP="00ED18D8">
      <w:pPr>
        <w:pStyle w:val="FootnoteText"/>
      </w:pPr>
    </w:p>
  </w:footnote>
  <w:footnote w:id="378">
    <w:p w14:paraId="11CD9531" w14:textId="77777777" w:rsidR="00E54204" w:rsidRPr="00E54204" w:rsidRDefault="00E54204" w:rsidP="00ED18D8">
      <w:pPr>
        <w:pStyle w:val="FootnoteText"/>
      </w:pPr>
      <w:r w:rsidRPr="00E54204">
        <w:rPr>
          <w:rStyle w:val="FootnoteReference"/>
        </w:rPr>
        <w:footnoteRef/>
      </w:r>
      <w:r w:rsidRPr="00E54204">
        <w:t xml:space="preserve"> M. </w:t>
      </w:r>
      <w:r w:rsidRPr="00E54204">
        <w:rPr>
          <w:i/>
        </w:rPr>
        <w:t xml:space="preserve">Avot </w:t>
      </w:r>
      <w:r w:rsidRPr="00E54204">
        <w:t>4:2.</w:t>
      </w:r>
    </w:p>
    <w:p w14:paraId="16E1380B" w14:textId="77777777" w:rsidR="00E54204" w:rsidRPr="00E54204" w:rsidRDefault="00E54204" w:rsidP="00ED18D8">
      <w:pPr>
        <w:pStyle w:val="FootnoteText"/>
      </w:pPr>
    </w:p>
  </w:footnote>
  <w:footnote w:id="379">
    <w:p w14:paraId="592FBD29" w14:textId="77777777" w:rsidR="00E54204" w:rsidRPr="00E54204" w:rsidRDefault="00E54204" w:rsidP="00ED18D8">
      <w:pPr>
        <w:pStyle w:val="FootnoteText"/>
      </w:pPr>
      <w:r w:rsidRPr="00E54204">
        <w:rPr>
          <w:rStyle w:val="FootnoteReference"/>
        </w:rPr>
        <w:footnoteRef/>
      </w:r>
      <w:r w:rsidRPr="00E54204">
        <w:t xml:space="preserve"> Chajes, </w:t>
      </w:r>
      <w:r w:rsidRPr="00E54204">
        <w:rPr>
          <w:i/>
        </w:rPr>
        <w:t>The Student’s</w:t>
      </w:r>
      <w:r w:rsidRPr="00E54204">
        <w:t xml:space="preserve">, 166.  </w:t>
      </w:r>
    </w:p>
    <w:p w14:paraId="1778AC75" w14:textId="77777777" w:rsidR="00E54204" w:rsidRPr="00E54204" w:rsidRDefault="00E54204" w:rsidP="00ED18D8">
      <w:pPr>
        <w:pStyle w:val="FootnoteText"/>
      </w:pPr>
    </w:p>
  </w:footnote>
  <w:footnote w:id="380">
    <w:p w14:paraId="0B7CC0D3" w14:textId="77777777" w:rsidR="00E54204" w:rsidRPr="00E54204" w:rsidRDefault="00E54204" w:rsidP="00ED18D8">
      <w:pPr>
        <w:pStyle w:val="FootnoteText"/>
      </w:pPr>
      <w:r w:rsidRPr="00E54204">
        <w:rPr>
          <w:rStyle w:val="FootnoteReference"/>
        </w:rPr>
        <w:footnoteRef/>
      </w:r>
      <w:r w:rsidRPr="00E54204">
        <w:t xml:space="preserve"> B. </w:t>
      </w:r>
      <w:r w:rsidRPr="00E54204">
        <w:rPr>
          <w:i/>
        </w:rPr>
        <w:t xml:space="preserve">Pesachim </w:t>
      </w:r>
      <w:r w:rsidRPr="00E54204">
        <w:t xml:space="preserve">94a and B. </w:t>
      </w:r>
      <w:r w:rsidRPr="00E54204">
        <w:rPr>
          <w:i/>
        </w:rPr>
        <w:t>Chagigah</w:t>
      </w:r>
      <w:r w:rsidRPr="00E54204">
        <w:t xml:space="preserve"> 13a.</w:t>
      </w:r>
    </w:p>
    <w:p w14:paraId="4BFE1A98" w14:textId="77777777" w:rsidR="00E54204" w:rsidRPr="00E54204" w:rsidRDefault="00E54204" w:rsidP="00ED18D8">
      <w:pPr>
        <w:pStyle w:val="FootnoteText"/>
      </w:pPr>
    </w:p>
  </w:footnote>
  <w:footnote w:id="381">
    <w:p w14:paraId="6E4F1F0B" w14:textId="77777777" w:rsidR="00E54204" w:rsidRPr="00E54204" w:rsidRDefault="00E54204" w:rsidP="00ED18D8">
      <w:pPr>
        <w:pStyle w:val="FootnoteText"/>
      </w:pPr>
      <w:r w:rsidRPr="00E54204">
        <w:rPr>
          <w:rStyle w:val="FootnoteReference"/>
        </w:rPr>
        <w:footnoteRef/>
      </w:r>
      <w:r w:rsidRPr="00E54204">
        <w:t xml:space="preserve"> See B. </w:t>
      </w:r>
      <w:r w:rsidRPr="00E54204">
        <w:rPr>
          <w:i/>
        </w:rPr>
        <w:t xml:space="preserve">Megillah </w:t>
      </w:r>
      <w:r w:rsidRPr="00E54204">
        <w:t xml:space="preserve">15a where the same phrase is applied to Ishmael, son of Nethaniah in Jeremiah 41:1 who slew Gedaliah, the Judean official placed by the Babylonians, and many other Jews.  See also B. </w:t>
      </w:r>
      <w:r w:rsidRPr="00E54204">
        <w:rPr>
          <w:i/>
        </w:rPr>
        <w:t xml:space="preserve">Gittin </w:t>
      </w:r>
      <w:r w:rsidRPr="00E54204">
        <w:t>56b.</w:t>
      </w:r>
    </w:p>
    <w:p w14:paraId="6C66E36D" w14:textId="77777777" w:rsidR="00E54204" w:rsidRPr="00E54204" w:rsidRDefault="00E54204" w:rsidP="00ED18D8">
      <w:pPr>
        <w:pStyle w:val="FootnoteText"/>
      </w:pPr>
    </w:p>
  </w:footnote>
  <w:footnote w:id="382">
    <w:p w14:paraId="422FC54F" w14:textId="77777777" w:rsidR="00E54204" w:rsidRPr="00E54204" w:rsidRDefault="00E54204" w:rsidP="00ED18D8">
      <w:pPr>
        <w:pStyle w:val="FootnoteText"/>
      </w:pPr>
      <w:r w:rsidRPr="00E54204">
        <w:rPr>
          <w:rStyle w:val="FootnoteReference"/>
        </w:rPr>
        <w:footnoteRef/>
      </w:r>
      <w:r w:rsidRPr="00E54204">
        <w:t xml:space="preserve"> Quoting from Isaiah 14:7: “The whole earth is at rest </w:t>
      </w:r>
      <w:r w:rsidRPr="00E54204">
        <w:rPr>
          <w:i/>
          <w:iCs/>
        </w:rPr>
        <w:t>and</w:t>
      </w:r>
      <w:r w:rsidRPr="00E54204">
        <w:t> quiet; they break forth into singing.”</w:t>
      </w:r>
    </w:p>
    <w:p w14:paraId="3DB13327" w14:textId="77777777" w:rsidR="00E54204" w:rsidRPr="00E54204" w:rsidRDefault="00E54204" w:rsidP="00ED18D8">
      <w:pPr>
        <w:pStyle w:val="FootnoteText"/>
      </w:pPr>
    </w:p>
  </w:footnote>
  <w:footnote w:id="383">
    <w:p w14:paraId="520435A2" w14:textId="77777777" w:rsidR="00E54204" w:rsidRPr="00E54204" w:rsidRDefault="00E54204" w:rsidP="00ED18D8">
      <w:pPr>
        <w:pStyle w:val="FootnoteText"/>
      </w:pPr>
      <w:r w:rsidRPr="00E54204">
        <w:rPr>
          <w:rStyle w:val="FootnoteReference"/>
        </w:rPr>
        <w:footnoteRef/>
      </w:r>
      <w:r w:rsidRPr="00E54204">
        <w:t xml:space="preserve"> Hell/place of torment in the afterlife.</w:t>
      </w:r>
    </w:p>
    <w:p w14:paraId="068A7939" w14:textId="77777777" w:rsidR="00E54204" w:rsidRPr="00E54204" w:rsidRDefault="00E54204" w:rsidP="00ED18D8">
      <w:pPr>
        <w:pStyle w:val="FootnoteText"/>
      </w:pPr>
    </w:p>
  </w:footnote>
  <w:footnote w:id="384">
    <w:p w14:paraId="09592C5E" w14:textId="77777777" w:rsidR="00E54204" w:rsidRPr="00E54204" w:rsidRDefault="00E54204" w:rsidP="00ED18D8">
      <w:pPr>
        <w:pStyle w:val="FootnoteText"/>
      </w:pPr>
      <w:r w:rsidRPr="00E54204">
        <w:rPr>
          <w:rStyle w:val="FootnoteReference"/>
        </w:rPr>
        <w:footnoteRef/>
      </w:r>
      <w:r w:rsidRPr="00E54204">
        <w:t xml:space="preserve"> Quoting from Ezekiel 32:19.</w:t>
      </w:r>
    </w:p>
    <w:p w14:paraId="3D07CF84" w14:textId="77777777" w:rsidR="00E54204" w:rsidRPr="00E54204" w:rsidRDefault="00E54204" w:rsidP="00ED18D8">
      <w:pPr>
        <w:pStyle w:val="FootnoteText"/>
      </w:pPr>
    </w:p>
  </w:footnote>
  <w:footnote w:id="385">
    <w:p w14:paraId="6FB0CBB9" w14:textId="77777777" w:rsidR="00E54204" w:rsidRPr="00E54204" w:rsidRDefault="00E54204" w:rsidP="00ED18D8">
      <w:pPr>
        <w:pStyle w:val="FootnoteText"/>
      </w:pPr>
      <w:r w:rsidRPr="00E54204">
        <w:rPr>
          <w:rStyle w:val="FootnoteReference"/>
        </w:rPr>
        <w:footnoteRef/>
      </w:r>
      <w:r w:rsidRPr="00E54204">
        <w:t xml:space="preserve"> The Soncino commentary interprets a part of this passage to imply pederasty.  This ascription may be a covert allusion to the practice amongst the Romans, cf. Epstein, </w:t>
      </w:r>
      <w:r w:rsidRPr="00E54204">
        <w:rPr>
          <w:i/>
        </w:rPr>
        <w:t>Hebrew-English</w:t>
      </w:r>
      <w:r w:rsidRPr="00E54204">
        <w:t>, B. Sh. 149b, n.24.</w:t>
      </w:r>
    </w:p>
    <w:p w14:paraId="6C847110" w14:textId="77777777" w:rsidR="00E54204" w:rsidRPr="00E54204" w:rsidRDefault="00E54204" w:rsidP="00ED18D8">
      <w:pPr>
        <w:pStyle w:val="FootnoteText"/>
      </w:pPr>
      <w:r w:rsidRPr="00E54204">
        <w:t xml:space="preserve">  </w:t>
      </w:r>
    </w:p>
  </w:footnote>
  <w:footnote w:id="386">
    <w:p w14:paraId="2FF27291" w14:textId="77777777" w:rsidR="00E54204" w:rsidRPr="00E54204" w:rsidRDefault="00E54204">
      <w:pPr>
        <w:pStyle w:val="FootnoteText"/>
      </w:pPr>
      <w:r w:rsidRPr="00E54204">
        <w:rPr>
          <w:rStyle w:val="FootnoteReference"/>
        </w:rPr>
        <w:footnoteRef/>
      </w:r>
      <w:r w:rsidRPr="00E54204">
        <w:t xml:space="preserve"> See B. </w:t>
      </w:r>
      <w:r w:rsidRPr="00E54204">
        <w:rPr>
          <w:i/>
        </w:rPr>
        <w:t xml:space="preserve">Gittin </w:t>
      </w:r>
      <w:r w:rsidRPr="00E54204">
        <w:t>56b.</w:t>
      </w:r>
    </w:p>
    <w:p w14:paraId="0321F2FB" w14:textId="77777777" w:rsidR="00E54204" w:rsidRPr="00E54204" w:rsidRDefault="00E54204">
      <w:pPr>
        <w:pStyle w:val="FootnoteText"/>
      </w:pPr>
    </w:p>
  </w:footnote>
  <w:footnote w:id="387">
    <w:p w14:paraId="4873338A" w14:textId="77777777" w:rsidR="00E54204" w:rsidRPr="00E54204" w:rsidRDefault="00E54204" w:rsidP="00ED18D8">
      <w:pPr>
        <w:pStyle w:val="FootnoteText"/>
      </w:pPr>
      <w:r w:rsidRPr="00E54204">
        <w:rPr>
          <w:rStyle w:val="FootnoteReference"/>
        </w:rPr>
        <w:footnoteRef/>
      </w:r>
      <w:r w:rsidRPr="00E54204">
        <w:t xml:space="preserve"> Esau, is sometimes a sobriquet for Rome/Christianity.</w:t>
      </w:r>
    </w:p>
    <w:p w14:paraId="068D235C" w14:textId="77777777" w:rsidR="00E54204" w:rsidRPr="00E54204" w:rsidRDefault="00E54204" w:rsidP="00ED18D8">
      <w:pPr>
        <w:pStyle w:val="FootnoteText"/>
      </w:pPr>
    </w:p>
  </w:footnote>
  <w:footnote w:id="388">
    <w:p w14:paraId="6F922BF4" w14:textId="77777777" w:rsidR="00E54204" w:rsidRPr="00E54204" w:rsidRDefault="00E54204" w:rsidP="00ED18D8">
      <w:pPr>
        <w:pStyle w:val="FootnoteText"/>
      </w:pPr>
      <w:r w:rsidRPr="00E54204">
        <w:rPr>
          <w:rStyle w:val="FootnoteReference"/>
        </w:rPr>
        <w:footnoteRef/>
      </w:r>
      <w:r w:rsidRPr="00E54204">
        <w:t xml:space="preserve"> The text states that a </w:t>
      </w:r>
      <w:r w:rsidRPr="00E54204">
        <w:rPr>
          <w:i/>
        </w:rPr>
        <w:t xml:space="preserve">Tanna </w:t>
      </w:r>
      <w:r w:rsidRPr="00E54204">
        <w:t>taught that it was, “like a young dove two pounds in weight.”</w:t>
      </w:r>
    </w:p>
    <w:p w14:paraId="55AD1DEF" w14:textId="77777777" w:rsidR="00E54204" w:rsidRPr="00E54204" w:rsidRDefault="00E54204" w:rsidP="00ED18D8">
      <w:pPr>
        <w:pStyle w:val="FootnoteText"/>
      </w:pPr>
    </w:p>
  </w:footnote>
  <w:footnote w:id="389">
    <w:p w14:paraId="6D62420C" w14:textId="77777777" w:rsidR="00E54204" w:rsidRPr="00E54204" w:rsidRDefault="00E54204" w:rsidP="00ED18D8">
      <w:pPr>
        <w:pStyle w:val="FootnoteText"/>
      </w:pPr>
      <w:r w:rsidRPr="00E54204">
        <w:rPr>
          <w:rStyle w:val="FootnoteReference"/>
        </w:rPr>
        <w:footnoteRef/>
      </w:r>
      <w:r w:rsidRPr="00E54204">
        <w:t xml:space="preserve"> </w:t>
      </w:r>
      <w:r w:rsidRPr="00E54204">
        <w:rPr>
          <w:bCs/>
        </w:rPr>
        <w:t>It should be noted, that the sins of the Jewish people are also attributed to having caused its destruction.</w:t>
      </w:r>
      <w:r w:rsidRPr="00E54204">
        <w:t xml:space="preserve">  In B.</w:t>
      </w:r>
      <w:r w:rsidRPr="00E54204">
        <w:rPr>
          <w:i/>
        </w:rPr>
        <w:t xml:space="preserve"> </w:t>
      </w:r>
      <w:r w:rsidRPr="00E54204">
        <w:t>Ber. 3a it states that thrice daily a heavenly voice coos like a dove, “Woe to the children on account of whose sins I destroyed my house and burnt my Temple and exiled them among the nations of the world!”  The section then proceeds into another story which also includes the notion of the heavenly voice (</w:t>
      </w:r>
      <w:r w:rsidRPr="00E54204">
        <w:rPr>
          <w:i/>
        </w:rPr>
        <w:t>bat kol</w:t>
      </w:r>
      <w:r w:rsidRPr="00E54204">
        <w:t>).</w:t>
      </w:r>
    </w:p>
    <w:p w14:paraId="6D8CB999" w14:textId="77777777" w:rsidR="00E54204" w:rsidRPr="00E54204" w:rsidRDefault="00E54204" w:rsidP="00ED18D8">
      <w:pPr>
        <w:pStyle w:val="FootnoteText"/>
      </w:pPr>
    </w:p>
  </w:footnote>
  <w:footnote w:id="390">
    <w:p w14:paraId="4AB90A82" w14:textId="77777777" w:rsidR="00E54204" w:rsidRPr="00E54204" w:rsidRDefault="00E54204" w:rsidP="00ED18D8">
      <w:pPr>
        <w:pStyle w:val="FootnoteText"/>
      </w:pPr>
      <w:r w:rsidRPr="00E54204">
        <w:rPr>
          <w:rStyle w:val="FootnoteReference"/>
        </w:rPr>
        <w:footnoteRef/>
      </w:r>
      <w:r w:rsidRPr="00E54204">
        <w:t xml:space="preserve"> A secondary definition provided by Epstein is that it refers to those sectionss of rabbinic literature which pertain to legal matters, as opposed to </w:t>
      </w:r>
      <w:r w:rsidRPr="00E54204">
        <w:rPr>
          <w:i/>
        </w:rPr>
        <w:t>Haggadah</w:t>
      </w:r>
      <w:r w:rsidRPr="00E54204">
        <w:t xml:space="preserve">.  Cf. Epstein, </w:t>
      </w:r>
      <w:r w:rsidRPr="00E54204">
        <w:rPr>
          <w:i/>
        </w:rPr>
        <w:t>Hebrew-English</w:t>
      </w:r>
      <w:r w:rsidRPr="00E54204">
        <w:t>, “Halachah.”</w:t>
      </w:r>
    </w:p>
    <w:p w14:paraId="37D4F4AB" w14:textId="77777777" w:rsidR="00E54204" w:rsidRPr="00E54204" w:rsidRDefault="00E54204" w:rsidP="00ED18D8">
      <w:pPr>
        <w:pStyle w:val="FootnoteText"/>
      </w:pPr>
    </w:p>
  </w:footnote>
  <w:footnote w:id="391">
    <w:p w14:paraId="7FBB1CFC" w14:textId="77777777" w:rsidR="00E54204" w:rsidRPr="00E54204" w:rsidRDefault="00E54204" w:rsidP="00ED18D8">
      <w:pPr>
        <w:pStyle w:val="FootnoteText"/>
      </w:pPr>
      <w:r w:rsidRPr="00E54204">
        <w:rPr>
          <w:rStyle w:val="FootnoteReference"/>
        </w:rPr>
        <w:footnoteRef/>
      </w:r>
      <w:r w:rsidRPr="00E54204">
        <w:t xml:space="preserve"> Jacob Neusner dates them from 1-70 CE.  Jacob Neusner, </w:t>
      </w:r>
      <w:r w:rsidRPr="00E54204">
        <w:rPr>
          <w:i/>
        </w:rPr>
        <w:t>From Politics to Piety: the Emergence of Pharisaic Judaism</w:t>
      </w:r>
      <w:r w:rsidRPr="00E54204">
        <w:t xml:space="preserve"> (Englewood Cliffs, N.J.: Prentice-Hall, 1972), xii.</w:t>
      </w:r>
    </w:p>
    <w:p w14:paraId="4853D9B8" w14:textId="77777777" w:rsidR="00E54204" w:rsidRPr="00E54204" w:rsidRDefault="00E54204" w:rsidP="00ED18D8">
      <w:pPr>
        <w:pStyle w:val="FootnoteText"/>
      </w:pPr>
    </w:p>
  </w:footnote>
  <w:footnote w:id="392">
    <w:p w14:paraId="53D45085" w14:textId="77777777" w:rsidR="00E54204" w:rsidRPr="00E54204" w:rsidRDefault="00E54204" w:rsidP="00ED18D8">
      <w:pPr>
        <w:pStyle w:val="FootnoteText"/>
      </w:pPr>
      <w:r w:rsidRPr="00E54204">
        <w:rPr>
          <w:rStyle w:val="FootnoteReference"/>
        </w:rPr>
        <w:footnoteRef/>
      </w:r>
      <w:r w:rsidRPr="00E54204">
        <w:t xml:space="preserve"> Generally speaking these concepts pertain to life and death, the closer an object comes closer to death the more it is increases in ritual impurity.  Ritual purity mostly applied to offering sacrifices and sacred objects.  For example, priests and members of their families were obliged to ritually immerse themselves before eating of the sacrifices.  However, after the destruction of the Temple, two aspects remained relevant: menstruation/childbirth and priestly laws of purity.  Cf. Steinsaltz, </w:t>
      </w:r>
      <w:r w:rsidRPr="00E54204">
        <w:rPr>
          <w:i/>
        </w:rPr>
        <w:t>The Essential</w:t>
      </w:r>
      <w:r w:rsidRPr="00E54204">
        <w:t>, 231-235.</w:t>
      </w:r>
    </w:p>
    <w:p w14:paraId="1321CEA5" w14:textId="77777777" w:rsidR="00E54204" w:rsidRPr="00E54204" w:rsidRDefault="00E54204" w:rsidP="00ED18D8">
      <w:pPr>
        <w:pStyle w:val="FootnoteText"/>
      </w:pPr>
    </w:p>
  </w:footnote>
  <w:footnote w:id="393">
    <w:p w14:paraId="130138A1" w14:textId="77777777" w:rsidR="00E54204" w:rsidRPr="00E54204" w:rsidRDefault="00E54204" w:rsidP="00ED18D8">
      <w:pPr>
        <w:pStyle w:val="FootnoteText"/>
        <w:rPr>
          <w:bCs/>
        </w:rPr>
      </w:pPr>
      <w:r w:rsidRPr="00E54204">
        <w:rPr>
          <w:rStyle w:val="FootnoteReference"/>
        </w:rPr>
        <w:footnoteRef/>
      </w:r>
      <w:r w:rsidRPr="00E54204">
        <w:t xml:space="preserve"> Translation from </w:t>
      </w:r>
      <w:r w:rsidRPr="00E54204">
        <w:rPr>
          <w:bCs/>
          <w:i/>
          <w:iCs/>
        </w:rPr>
        <w:t>Koren Talmud Bavli Tractate Eiruvin, Daf Yomi B &amp; W Edition</w:t>
      </w:r>
      <w:r w:rsidRPr="00E54204">
        <w:rPr>
          <w:bCs/>
        </w:rPr>
        <w:t xml:space="preserve"> (Koren Pub, 2013).</w:t>
      </w:r>
    </w:p>
    <w:p w14:paraId="30E6442B" w14:textId="77777777" w:rsidR="00E54204" w:rsidRPr="00E54204" w:rsidRDefault="00E54204" w:rsidP="00ED18D8">
      <w:pPr>
        <w:pStyle w:val="FootnoteText"/>
        <w:rPr>
          <w:bCs/>
        </w:rPr>
      </w:pPr>
    </w:p>
  </w:footnote>
  <w:footnote w:id="394">
    <w:p w14:paraId="0CD1EAA2" w14:textId="77777777" w:rsidR="00E54204" w:rsidRPr="00E54204" w:rsidRDefault="00E54204" w:rsidP="00ED18D8">
      <w:pPr>
        <w:pStyle w:val="FootnoteText"/>
      </w:pPr>
      <w:r w:rsidRPr="00E54204">
        <w:rPr>
          <w:rStyle w:val="FootnoteReference"/>
        </w:rPr>
        <w:footnoteRef/>
      </w:r>
      <w:r w:rsidRPr="00E54204">
        <w:t xml:space="preserve"> Also known as the Sanhedrin.</w:t>
      </w:r>
    </w:p>
    <w:p w14:paraId="6C23077D" w14:textId="77777777" w:rsidR="00E54204" w:rsidRPr="00E54204" w:rsidRDefault="00E54204" w:rsidP="00ED18D8">
      <w:pPr>
        <w:pStyle w:val="FootnoteText"/>
      </w:pPr>
    </w:p>
  </w:footnote>
  <w:footnote w:id="395">
    <w:p w14:paraId="16E340EC" w14:textId="77777777" w:rsidR="00E54204" w:rsidRPr="00E54204" w:rsidRDefault="00E54204" w:rsidP="00ED18D8">
      <w:pPr>
        <w:pStyle w:val="FootnoteText"/>
      </w:pPr>
      <w:r w:rsidRPr="00E54204">
        <w:rPr>
          <w:rStyle w:val="FootnoteReference"/>
        </w:rPr>
        <w:footnoteRef/>
      </w:r>
      <w:r w:rsidRPr="00E54204">
        <w:t xml:space="preserve"> Alexander Guttmann, </w:t>
      </w:r>
      <w:r w:rsidRPr="00E54204">
        <w:rPr>
          <w:i/>
        </w:rPr>
        <w:t>Rabbinic Judaism in the Making: A Chapter in the History of the Halakhah from Ezra to Judah I</w:t>
      </w:r>
      <w:r w:rsidRPr="00E54204">
        <w:t xml:space="preserve"> (Detroit: Wayne State University Press, 1970), 106.</w:t>
      </w:r>
    </w:p>
    <w:p w14:paraId="273E509D" w14:textId="77777777" w:rsidR="00E54204" w:rsidRPr="00E54204" w:rsidRDefault="00E54204" w:rsidP="00ED18D8">
      <w:pPr>
        <w:pStyle w:val="FootnoteText"/>
        <w:rPr>
          <w:i/>
        </w:rPr>
      </w:pPr>
    </w:p>
  </w:footnote>
  <w:footnote w:id="396">
    <w:p w14:paraId="1CA75753" w14:textId="77777777" w:rsidR="00E54204" w:rsidRPr="00E54204" w:rsidRDefault="00E54204" w:rsidP="00ED18D8">
      <w:pPr>
        <w:pStyle w:val="FootnoteText"/>
      </w:pPr>
      <w:r w:rsidRPr="00E54204">
        <w:rPr>
          <w:rStyle w:val="FootnoteReference"/>
        </w:rPr>
        <w:footnoteRef/>
      </w:r>
      <w:r w:rsidRPr="00E54204">
        <w:t xml:space="preserve"> However, according to Alexander Guttmann </w:t>
      </w:r>
      <w:r w:rsidRPr="00E54204">
        <w:rPr>
          <w:i/>
        </w:rPr>
        <w:t>Halachoth</w:t>
      </w:r>
      <w:r w:rsidRPr="00E54204">
        <w:t xml:space="preserve"> (legal decisions) decided in favor of Shammai prior to the </w:t>
      </w:r>
      <w:r w:rsidRPr="00E54204">
        <w:rPr>
          <w:i/>
        </w:rPr>
        <w:t>bat kol</w:t>
      </w:r>
      <w:r w:rsidRPr="00E54204">
        <w:t xml:space="preserve"> remained in effect.  Cf. Guttmann, </w:t>
      </w:r>
      <w:r w:rsidRPr="00E54204">
        <w:rPr>
          <w:i/>
        </w:rPr>
        <w:t>Rabbinic Judaism</w:t>
      </w:r>
      <w:r w:rsidRPr="00E54204">
        <w:t>, 119.</w:t>
      </w:r>
    </w:p>
    <w:p w14:paraId="5ACDDF25" w14:textId="77777777" w:rsidR="00E54204" w:rsidRPr="00E54204" w:rsidRDefault="00E54204" w:rsidP="00ED18D8">
      <w:pPr>
        <w:pStyle w:val="FootnoteText"/>
        <w:rPr>
          <w:i/>
        </w:rPr>
      </w:pPr>
    </w:p>
  </w:footnote>
  <w:footnote w:id="397">
    <w:p w14:paraId="26F68009" w14:textId="77777777" w:rsidR="00E54204" w:rsidRPr="00E54204" w:rsidRDefault="00E54204" w:rsidP="00ED18D8">
      <w:pPr>
        <w:pStyle w:val="FootnoteText"/>
      </w:pPr>
      <w:r w:rsidRPr="00E54204">
        <w:rPr>
          <w:rStyle w:val="FootnoteReference"/>
        </w:rPr>
        <w:footnoteRef/>
      </w:r>
      <w:r w:rsidRPr="00E54204">
        <w:t xml:space="preserve"> Translation from Guttmann, </w:t>
      </w:r>
      <w:r w:rsidRPr="00E54204">
        <w:rPr>
          <w:i/>
        </w:rPr>
        <w:t>Rabbinic Judaism</w:t>
      </w:r>
      <w:r w:rsidRPr="00E54204">
        <w:t>, 105.</w:t>
      </w:r>
    </w:p>
    <w:p w14:paraId="599A9AD5" w14:textId="77777777" w:rsidR="00E54204" w:rsidRPr="00E54204" w:rsidRDefault="00E54204" w:rsidP="00ED18D8">
      <w:pPr>
        <w:pStyle w:val="FootnoteText"/>
      </w:pPr>
    </w:p>
  </w:footnote>
  <w:footnote w:id="398">
    <w:p w14:paraId="1B32B4BF" w14:textId="77777777" w:rsidR="00E54204" w:rsidRPr="00E54204" w:rsidRDefault="00E54204" w:rsidP="00ED18D8">
      <w:pPr>
        <w:pStyle w:val="FootnoteText"/>
      </w:pPr>
      <w:r w:rsidRPr="00E54204">
        <w:rPr>
          <w:rStyle w:val="FootnoteReference"/>
        </w:rPr>
        <w:footnoteRef/>
      </w:r>
      <w:r w:rsidRPr="00E54204">
        <w:t xml:space="preserve"> Guttmann, </w:t>
      </w:r>
      <w:r w:rsidRPr="00E54204">
        <w:rPr>
          <w:i/>
        </w:rPr>
        <w:t>Rabbinic Judaism</w:t>
      </w:r>
      <w:r w:rsidRPr="00E54204">
        <w:t>, 116.</w:t>
      </w:r>
    </w:p>
    <w:p w14:paraId="034CD54A" w14:textId="77777777" w:rsidR="00E54204" w:rsidRPr="00E54204" w:rsidRDefault="00E54204" w:rsidP="00ED18D8">
      <w:pPr>
        <w:pStyle w:val="FootnoteText"/>
      </w:pPr>
    </w:p>
  </w:footnote>
  <w:footnote w:id="399">
    <w:p w14:paraId="359F1974" w14:textId="77777777" w:rsidR="00E54204" w:rsidRPr="00E54204" w:rsidRDefault="00E54204" w:rsidP="00ED18D8">
      <w:pPr>
        <w:pStyle w:val="FootnoteText"/>
      </w:pPr>
      <w:r w:rsidRPr="00E54204">
        <w:rPr>
          <w:rStyle w:val="FootnoteReference"/>
        </w:rPr>
        <w:footnoteRef/>
      </w:r>
      <w:r w:rsidRPr="00E54204">
        <w:t xml:space="preserve"> See B. B.M.43b.</w:t>
      </w:r>
    </w:p>
    <w:p w14:paraId="33A03902" w14:textId="77777777" w:rsidR="00E54204" w:rsidRPr="00E54204" w:rsidRDefault="00E54204" w:rsidP="00ED18D8">
      <w:pPr>
        <w:pStyle w:val="FootnoteText"/>
      </w:pPr>
    </w:p>
  </w:footnote>
  <w:footnote w:id="400">
    <w:p w14:paraId="24B7BF3F" w14:textId="77777777" w:rsidR="00E54204" w:rsidRPr="00E54204" w:rsidRDefault="00E54204" w:rsidP="00ED18D8">
      <w:pPr>
        <w:pStyle w:val="FootnoteText"/>
      </w:pPr>
      <w:r w:rsidRPr="00E54204">
        <w:rPr>
          <w:rStyle w:val="FootnoteReference"/>
        </w:rPr>
        <w:footnoteRef/>
      </w:r>
      <w:r w:rsidRPr="00E54204">
        <w:t xml:space="preserve"> See M. </w:t>
      </w:r>
      <w:r w:rsidRPr="00E54204">
        <w:rPr>
          <w:i/>
        </w:rPr>
        <w:t xml:space="preserve">Betza </w:t>
      </w:r>
      <w:r w:rsidRPr="00E54204">
        <w:t>2:6; B. Ber. 43b, 53a; B. Yev.</w:t>
      </w:r>
      <w:r w:rsidRPr="00E54204">
        <w:rPr>
          <w:i/>
        </w:rPr>
        <w:t xml:space="preserve"> </w:t>
      </w:r>
      <w:r w:rsidRPr="00E54204">
        <w:t>15a.</w:t>
      </w:r>
    </w:p>
    <w:p w14:paraId="38308C3C" w14:textId="77777777" w:rsidR="00E54204" w:rsidRPr="00E54204" w:rsidRDefault="00E54204" w:rsidP="00ED18D8">
      <w:pPr>
        <w:pStyle w:val="FootnoteText"/>
      </w:pPr>
    </w:p>
  </w:footnote>
  <w:footnote w:id="401">
    <w:p w14:paraId="3980A40D" w14:textId="77777777" w:rsidR="00E54204" w:rsidRPr="00E54204" w:rsidRDefault="00E54204" w:rsidP="00ED18D8">
      <w:pPr>
        <w:pStyle w:val="FootnoteText"/>
      </w:pPr>
      <w:r w:rsidRPr="00E54204">
        <w:rPr>
          <w:rStyle w:val="FootnoteReference"/>
        </w:rPr>
        <w:footnoteRef/>
      </w:r>
      <w:r w:rsidRPr="00E54204">
        <w:t xml:space="preserve"> See B. </w:t>
      </w:r>
      <w:r w:rsidRPr="00E54204">
        <w:rPr>
          <w:i/>
        </w:rPr>
        <w:t xml:space="preserve">Sotah </w:t>
      </w:r>
      <w:r w:rsidRPr="00E54204">
        <w:t xml:space="preserve">48b and B. </w:t>
      </w:r>
      <w:r w:rsidRPr="00E54204">
        <w:rPr>
          <w:i/>
        </w:rPr>
        <w:t xml:space="preserve">Sanhedrin </w:t>
      </w:r>
      <w:r w:rsidRPr="00E54204">
        <w:t>11a.</w:t>
      </w:r>
    </w:p>
    <w:p w14:paraId="172260CA" w14:textId="77777777" w:rsidR="00E54204" w:rsidRPr="00E54204" w:rsidRDefault="00E54204" w:rsidP="00ED18D8">
      <w:pPr>
        <w:pStyle w:val="FootnoteText"/>
      </w:pPr>
    </w:p>
  </w:footnote>
  <w:footnote w:id="402">
    <w:p w14:paraId="1CE7E599" w14:textId="77777777" w:rsidR="00E54204" w:rsidRPr="00E54204" w:rsidRDefault="00E54204" w:rsidP="00ED18D8">
      <w:pPr>
        <w:pStyle w:val="FootnoteText"/>
        <w:rPr>
          <w:bCs/>
        </w:rPr>
      </w:pPr>
      <w:r w:rsidRPr="00E54204">
        <w:rPr>
          <w:rStyle w:val="FootnoteReference"/>
        </w:rPr>
        <w:footnoteRef/>
      </w:r>
      <w:r w:rsidRPr="00E54204">
        <w:t xml:space="preserve"> Translation from </w:t>
      </w:r>
      <w:r w:rsidRPr="00E54204">
        <w:rPr>
          <w:bCs/>
          <w:i/>
          <w:iCs/>
        </w:rPr>
        <w:t>Koren Talmud Bavli Tractate Eiruvin, Daf Yomi B &amp; W Edition</w:t>
      </w:r>
      <w:r w:rsidRPr="00E54204">
        <w:rPr>
          <w:bCs/>
        </w:rPr>
        <w:t xml:space="preserve"> (Koren Pub, 2013).  This statement seems to be derived from Proverbs 29:23, “A man’s pride will bring him low, but the humble in spirit will retain honor.” </w:t>
      </w:r>
    </w:p>
    <w:p w14:paraId="075FEB9D" w14:textId="77777777" w:rsidR="00E54204" w:rsidRPr="00E54204" w:rsidRDefault="00E54204" w:rsidP="00ED18D8">
      <w:pPr>
        <w:pStyle w:val="FootnoteText"/>
      </w:pPr>
    </w:p>
  </w:footnote>
  <w:footnote w:id="403">
    <w:p w14:paraId="05DE8F06" w14:textId="77777777" w:rsidR="00E54204" w:rsidRPr="00E54204" w:rsidRDefault="00E54204" w:rsidP="00ED18D8">
      <w:pPr>
        <w:pStyle w:val="FootnoteText"/>
      </w:pPr>
      <w:r w:rsidRPr="00E54204">
        <w:rPr>
          <w:rStyle w:val="FootnoteReference"/>
        </w:rPr>
        <w:footnoteRef/>
      </w:r>
      <w:r w:rsidRPr="00E54204">
        <w:t xml:space="preserve"> See B. Ber.</w:t>
      </w:r>
      <w:r w:rsidRPr="00E54204">
        <w:rPr>
          <w:i/>
        </w:rPr>
        <w:t xml:space="preserve"> </w:t>
      </w:r>
      <w:r w:rsidRPr="00E54204">
        <w:t xml:space="preserve">51b, </w:t>
      </w:r>
      <w:r w:rsidRPr="00E54204">
        <w:rPr>
          <w:i/>
        </w:rPr>
        <w:t xml:space="preserve">Pesachim </w:t>
      </w:r>
      <w:r w:rsidRPr="00E54204">
        <w:t xml:space="preserve">114a, </w:t>
      </w:r>
      <w:r w:rsidRPr="00E54204">
        <w:rPr>
          <w:i/>
        </w:rPr>
        <w:t xml:space="preserve">Eruvin </w:t>
      </w:r>
      <w:r w:rsidRPr="00E54204">
        <w:t>6b, Yev.</w:t>
      </w:r>
      <w:r w:rsidRPr="00E54204">
        <w:rPr>
          <w:i/>
        </w:rPr>
        <w:t xml:space="preserve"> </w:t>
      </w:r>
      <w:r w:rsidRPr="00E54204">
        <w:t xml:space="preserve">14a, </w:t>
      </w:r>
      <w:r w:rsidRPr="00E54204">
        <w:rPr>
          <w:i/>
        </w:rPr>
        <w:t xml:space="preserve">Chullin </w:t>
      </w:r>
      <w:r w:rsidRPr="00E54204">
        <w:t>44a.</w:t>
      </w:r>
    </w:p>
    <w:p w14:paraId="46219A5E" w14:textId="77777777" w:rsidR="00E54204" w:rsidRPr="00E54204" w:rsidRDefault="00E54204" w:rsidP="00ED18D8">
      <w:pPr>
        <w:pStyle w:val="FootnoteText"/>
      </w:pPr>
    </w:p>
  </w:footnote>
  <w:footnote w:id="404">
    <w:p w14:paraId="122BE30A" w14:textId="77777777" w:rsidR="00E54204" w:rsidRPr="00E54204" w:rsidRDefault="00E54204" w:rsidP="00ED18D8">
      <w:pPr>
        <w:pStyle w:val="FootnoteText"/>
      </w:pPr>
      <w:r w:rsidRPr="00E54204">
        <w:rPr>
          <w:rStyle w:val="FootnoteReference"/>
        </w:rPr>
        <w:footnoteRef/>
      </w:r>
      <w:r w:rsidRPr="00E54204">
        <w:t xml:space="preserve"> B. </w:t>
      </w:r>
      <w:r w:rsidRPr="00E54204">
        <w:rPr>
          <w:i/>
        </w:rPr>
        <w:t xml:space="preserve">Bava Metzia </w:t>
      </w:r>
      <w:r w:rsidRPr="00E54204">
        <w:t>59b.</w:t>
      </w:r>
    </w:p>
    <w:p w14:paraId="38B1B6C6" w14:textId="77777777" w:rsidR="00E54204" w:rsidRPr="00E54204" w:rsidRDefault="00E54204" w:rsidP="00ED18D8">
      <w:pPr>
        <w:pStyle w:val="FootnoteText"/>
      </w:pPr>
    </w:p>
  </w:footnote>
  <w:footnote w:id="405">
    <w:p w14:paraId="14BD8FFE" w14:textId="77777777" w:rsidR="00E54204" w:rsidRPr="00E54204" w:rsidRDefault="00E54204" w:rsidP="00ED18D8">
      <w:pPr>
        <w:pStyle w:val="FootnoteText"/>
      </w:pPr>
      <w:r w:rsidRPr="00E54204">
        <w:rPr>
          <w:rStyle w:val="FootnoteReference"/>
        </w:rPr>
        <w:footnoteRef/>
      </w:r>
      <w:r w:rsidRPr="00E54204">
        <w:t xml:space="preserve"> B. </w:t>
      </w:r>
      <w:r w:rsidRPr="00E54204">
        <w:rPr>
          <w:i/>
        </w:rPr>
        <w:t xml:space="preserve">Eruvin </w:t>
      </w:r>
      <w:r w:rsidRPr="00E54204">
        <w:t xml:space="preserve">7a; </w:t>
      </w:r>
      <w:r w:rsidRPr="00E54204">
        <w:rPr>
          <w:i/>
        </w:rPr>
        <w:t xml:space="preserve">Pesachim </w:t>
      </w:r>
      <w:r w:rsidRPr="00E54204">
        <w:t>114a.</w:t>
      </w:r>
    </w:p>
    <w:p w14:paraId="4749B061" w14:textId="77777777" w:rsidR="00E54204" w:rsidRPr="00E54204" w:rsidRDefault="00E54204" w:rsidP="00ED18D8">
      <w:pPr>
        <w:pStyle w:val="FootnoteText"/>
      </w:pPr>
    </w:p>
  </w:footnote>
  <w:footnote w:id="406">
    <w:p w14:paraId="71006069" w14:textId="77777777" w:rsidR="00E54204" w:rsidRPr="00E54204" w:rsidRDefault="00E54204" w:rsidP="00ED18D8">
      <w:pPr>
        <w:pStyle w:val="FootnoteText"/>
      </w:pPr>
      <w:r w:rsidRPr="00E54204">
        <w:rPr>
          <w:rStyle w:val="FootnoteReference"/>
        </w:rPr>
        <w:footnoteRef/>
      </w:r>
      <w:r w:rsidRPr="00E54204">
        <w:t xml:space="preserve"> For a detailed and comprehensive analysis see Jeffrey Rubenstein, </w:t>
      </w:r>
      <w:r w:rsidRPr="00E54204">
        <w:rPr>
          <w:i/>
        </w:rPr>
        <w:t>Talmudic Stories: Narrative Art</w:t>
      </w:r>
      <w:r w:rsidRPr="00E54204">
        <w:t xml:space="preserve">, </w:t>
      </w:r>
      <w:r w:rsidRPr="00E54204">
        <w:rPr>
          <w:i/>
        </w:rPr>
        <w:t>Composition, and Culture</w:t>
      </w:r>
      <w:r w:rsidRPr="00E54204">
        <w:t xml:space="preserve"> (Baltimore: The John Hopkins University Press, 1999),</w:t>
      </w:r>
      <w:r w:rsidRPr="00E54204">
        <w:rPr>
          <w:i/>
        </w:rPr>
        <w:t xml:space="preserve"> </w:t>
      </w:r>
      <w:r w:rsidRPr="00E54204">
        <w:t>34-63.</w:t>
      </w:r>
    </w:p>
    <w:p w14:paraId="367FA0EB" w14:textId="77777777" w:rsidR="00E54204" w:rsidRPr="00E54204" w:rsidRDefault="00E54204" w:rsidP="00ED18D8">
      <w:pPr>
        <w:pStyle w:val="FootnoteText"/>
      </w:pPr>
    </w:p>
  </w:footnote>
  <w:footnote w:id="407">
    <w:p w14:paraId="594D2C1D" w14:textId="77777777" w:rsidR="00E54204" w:rsidRPr="00E54204" w:rsidRDefault="00E54204" w:rsidP="00ED18D8">
      <w:pPr>
        <w:pStyle w:val="FootnoteText"/>
      </w:pPr>
      <w:r w:rsidRPr="00E54204">
        <w:rPr>
          <w:rStyle w:val="FootnoteReference"/>
        </w:rPr>
        <w:footnoteRef/>
      </w:r>
      <w:r w:rsidRPr="00E54204">
        <w:t xml:space="preserve"> Once again in B. </w:t>
      </w:r>
      <w:r w:rsidRPr="00E54204">
        <w:rPr>
          <w:i/>
        </w:rPr>
        <w:t xml:space="preserve">Sanhedrin </w:t>
      </w:r>
      <w:r w:rsidRPr="00E54204">
        <w:t xml:space="preserve">104b we read of David defending the reputation of his son, in order for Solomon to be admitted into the world to come.  The Great Assembly also dismisses the miraculous sign of fire descending from heaven and the sound of the first </w:t>
      </w:r>
      <w:r w:rsidRPr="00E54204">
        <w:rPr>
          <w:i/>
        </w:rPr>
        <w:t>bat kol</w:t>
      </w:r>
      <w:r w:rsidRPr="00E54204">
        <w:t xml:space="preserve">, they desisted after it came forth a second time. </w:t>
      </w:r>
    </w:p>
    <w:p w14:paraId="00A23F16" w14:textId="77777777" w:rsidR="00E54204" w:rsidRPr="00E54204" w:rsidRDefault="00E54204" w:rsidP="00ED18D8">
      <w:pPr>
        <w:pStyle w:val="FootnoteText"/>
      </w:pPr>
    </w:p>
  </w:footnote>
  <w:footnote w:id="408">
    <w:p w14:paraId="6B5AEDB4" w14:textId="77777777" w:rsidR="00E54204" w:rsidRPr="00E54204" w:rsidRDefault="00E54204">
      <w:pPr>
        <w:pStyle w:val="FootnoteText"/>
      </w:pPr>
      <w:r w:rsidRPr="00E54204">
        <w:rPr>
          <w:rStyle w:val="FootnoteReference"/>
        </w:rPr>
        <w:footnoteRef/>
      </w:r>
      <w:r w:rsidRPr="00E54204">
        <w:t xml:space="preserve"> The passages cited to prove that a heavenly messenger should not intervene on the matter are:  Deut. 30:12: “It [commandment to obey the Mosaic covenant] is not in heaven, that you should say, ‘Who will ascend into heaven for us and bring it to us, that we may hear it and do it?’”  This verse is cited so as to assert that Torah is not in heaven.  The second passage is Exodus 23:2: “You shall not follow a crowd to do evil; nor shall you testify in a dispute so as to turn aside after many to pervert </w:t>
      </w:r>
      <w:r w:rsidRPr="00E54204">
        <w:rPr>
          <w:i/>
        </w:rPr>
        <w:t>justice</w:t>
      </w:r>
      <w:r w:rsidRPr="00E54204">
        <w:t xml:space="preserve">.”  It is interpreted by R. Joshua to mean to incline after the majority.  </w:t>
      </w:r>
    </w:p>
    <w:p w14:paraId="1A5E13DF" w14:textId="77777777" w:rsidR="00E54204" w:rsidRPr="00E54204" w:rsidRDefault="00E54204">
      <w:pPr>
        <w:pStyle w:val="FootnoteText"/>
      </w:pPr>
    </w:p>
  </w:footnote>
  <w:footnote w:id="409">
    <w:p w14:paraId="262D0C3C" w14:textId="77777777" w:rsidR="00E54204" w:rsidRPr="00E54204" w:rsidRDefault="00E54204" w:rsidP="00ED18D8">
      <w:pPr>
        <w:pStyle w:val="FootnoteText"/>
      </w:pPr>
      <w:r w:rsidRPr="00E54204">
        <w:rPr>
          <w:rStyle w:val="FootnoteReference"/>
        </w:rPr>
        <w:footnoteRef/>
      </w:r>
      <w:r w:rsidRPr="00E54204">
        <w:t xml:space="preserve"> B. </w:t>
      </w:r>
      <w:r w:rsidRPr="00E54204">
        <w:rPr>
          <w:i/>
        </w:rPr>
        <w:t xml:space="preserve">Bava Metzia </w:t>
      </w:r>
      <w:r w:rsidRPr="00E54204">
        <w:t>58b.</w:t>
      </w:r>
    </w:p>
    <w:p w14:paraId="293B1272" w14:textId="77777777" w:rsidR="00E54204" w:rsidRPr="00E54204" w:rsidRDefault="00E54204" w:rsidP="00ED18D8">
      <w:pPr>
        <w:pStyle w:val="FootnoteText"/>
      </w:pPr>
    </w:p>
  </w:footnote>
  <w:footnote w:id="410">
    <w:p w14:paraId="5A3F5F2D" w14:textId="77777777" w:rsidR="00E54204" w:rsidRPr="00E54204" w:rsidRDefault="00E54204" w:rsidP="00ED18D8">
      <w:pPr>
        <w:pStyle w:val="FootnoteText"/>
      </w:pPr>
      <w:r w:rsidRPr="00E54204">
        <w:rPr>
          <w:rStyle w:val="FootnoteReference"/>
        </w:rPr>
        <w:footnoteRef/>
      </w:r>
      <w:r w:rsidRPr="00E54204">
        <w:t xml:space="preserve"> The Mishnaic teaching comes from M. </w:t>
      </w:r>
      <w:r w:rsidRPr="00E54204">
        <w:rPr>
          <w:i/>
        </w:rPr>
        <w:t xml:space="preserve">Bava Metzia </w:t>
      </w:r>
      <w:r w:rsidRPr="00E54204">
        <w:t xml:space="preserve">4:10.  Cf. Rubenstein, </w:t>
      </w:r>
      <w:r w:rsidRPr="00E54204">
        <w:rPr>
          <w:i/>
        </w:rPr>
        <w:t>Talmudic Stories</w:t>
      </w:r>
      <w:r w:rsidRPr="00E54204">
        <w:t>, 35.</w:t>
      </w:r>
    </w:p>
    <w:p w14:paraId="4C33314A" w14:textId="77777777" w:rsidR="00E54204" w:rsidRPr="00E54204" w:rsidRDefault="00E54204" w:rsidP="00ED18D8">
      <w:pPr>
        <w:pStyle w:val="FootnoteText"/>
      </w:pPr>
    </w:p>
  </w:footnote>
  <w:footnote w:id="411">
    <w:p w14:paraId="62F6CBF5" w14:textId="77777777" w:rsidR="00E54204" w:rsidRPr="00E54204" w:rsidRDefault="00E54204" w:rsidP="00ED18D8">
      <w:pPr>
        <w:pStyle w:val="FootnoteText"/>
      </w:pPr>
      <w:r w:rsidRPr="00E54204">
        <w:rPr>
          <w:rStyle w:val="FootnoteReference"/>
        </w:rPr>
        <w:footnoteRef/>
      </w:r>
      <w:r w:rsidRPr="00E54204">
        <w:t xml:space="preserve"> “All the gates are locked except for the gates of [verbal] wrongdoing.”  Meaning that the prayers of the wronged are always before God.  These are the words uttered by R. Eliezer’s wife upon seeing her husband fall on his face in a gesture of prayer and humility so that God would avenge the wrong he suffered at the hands of the sages.  Shortly before, R. Gamaliel is signaled to have died. </w:t>
      </w:r>
    </w:p>
    <w:p w14:paraId="30FB5B4F" w14:textId="77777777" w:rsidR="00E54204" w:rsidRPr="00E54204" w:rsidRDefault="00E54204" w:rsidP="00ED18D8">
      <w:pPr>
        <w:pStyle w:val="FootnoteText"/>
      </w:pPr>
    </w:p>
  </w:footnote>
  <w:footnote w:id="412">
    <w:p w14:paraId="35EAAF5B" w14:textId="77777777" w:rsidR="00E54204" w:rsidRPr="00E54204" w:rsidRDefault="00E54204" w:rsidP="00ED18D8">
      <w:pPr>
        <w:pStyle w:val="FootnoteText"/>
      </w:pPr>
      <w:r w:rsidRPr="00E54204">
        <w:rPr>
          <w:rStyle w:val="FootnoteReference"/>
        </w:rPr>
        <w:footnoteRef/>
      </w:r>
      <w:r w:rsidRPr="00E54204">
        <w:t xml:space="preserve"> Rubenstein, </w:t>
      </w:r>
      <w:r w:rsidRPr="00E54204">
        <w:rPr>
          <w:i/>
        </w:rPr>
        <w:t>Talmudic Stories</w:t>
      </w:r>
      <w:r w:rsidRPr="00E54204">
        <w:t>, 36.</w:t>
      </w:r>
    </w:p>
    <w:p w14:paraId="0755FEBE" w14:textId="77777777" w:rsidR="00E54204" w:rsidRPr="00E54204" w:rsidRDefault="00E54204" w:rsidP="00ED18D8">
      <w:pPr>
        <w:pStyle w:val="FootnoteText"/>
      </w:pPr>
    </w:p>
  </w:footnote>
  <w:footnote w:id="413">
    <w:p w14:paraId="091A79D9" w14:textId="77777777" w:rsidR="00E54204" w:rsidRPr="00E54204" w:rsidRDefault="00E54204" w:rsidP="00ED18D8">
      <w:pPr>
        <w:pStyle w:val="FootnoteText"/>
      </w:pPr>
      <w:r w:rsidRPr="00E54204">
        <w:rPr>
          <w:rStyle w:val="FootnoteReference"/>
        </w:rPr>
        <w:footnoteRef/>
      </w:r>
      <w:r w:rsidRPr="00E54204">
        <w:t xml:space="preserve"> At least five other stories; B. Ber.</w:t>
      </w:r>
      <w:r w:rsidRPr="00E54204">
        <w:rPr>
          <w:i/>
        </w:rPr>
        <w:t xml:space="preserve"> </w:t>
      </w:r>
      <w:r w:rsidRPr="00E54204">
        <w:t>17b; Sh. 14b; Sh.</w:t>
      </w:r>
      <w:r w:rsidRPr="00E54204">
        <w:rPr>
          <w:i/>
        </w:rPr>
        <w:t xml:space="preserve"> </w:t>
      </w:r>
      <w:r w:rsidRPr="00E54204">
        <w:t xml:space="preserve">149b; </w:t>
      </w:r>
      <w:r w:rsidRPr="00E54204">
        <w:rPr>
          <w:i/>
        </w:rPr>
        <w:t xml:space="preserve">Eruvin </w:t>
      </w:r>
      <w:r w:rsidRPr="00E54204">
        <w:t>21b; M.K.</w:t>
      </w:r>
      <w:r w:rsidRPr="00E54204">
        <w:rPr>
          <w:i/>
        </w:rPr>
        <w:t xml:space="preserve"> </w:t>
      </w:r>
      <w:r w:rsidRPr="00E54204">
        <w:t xml:space="preserve">18b.  Rab Judah (Judah ben Ezekiel) was a second-generation </w:t>
      </w:r>
      <w:r w:rsidRPr="00E54204">
        <w:rPr>
          <w:i/>
        </w:rPr>
        <w:t>Amora</w:t>
      </w:r>
      <w:r w:rsidRPr="00E54204">
        <w:t xml:space="preserve"> (250-290 CE) in Babylon.  He was a disciple of first-generation </w:t>
      </w:r>
      <w:r w:rsidRPr="00E54204">
        <w:rPr>
          <w:i/>
        </w:rPr>
        <w:t>Amoraim</w:t>
      </w:r>
      <w:r w:rsidRPr="00E54204">
        <w:t xml:space="preserve"> (230-250 CE), Rav (Abba Arika) and Shmuel, who studied either directly under Judah Ha-Nasi or under his students.  </w:t>
      </w:r>
    </w:p>
    <w:p w14:paraId="57C11D7F" w14:textId="77777777" w:rsidR="00E54204" w:rsidRPr="00E54204" w:rsidRDefault="00E54204" w:rsidP="00ED18D8">
      <w:pPr>
        <w:pStyle w:val="FootnoteText"/>
      </w:pPr>
    </w:p>
  </w:footnote>
  <w:footnote w:id="414">
    <w:p w14:paraId="26957CA9" w14:textId="77777777" w:rsidR="00E54204" w:rsidRPr="00E54204" w:rsidRDefault="00E54204" w:rsidP="007078A1">
      <w:pPr>
        <w:pStyle w:val="FootnoteText"/>
      </w:pPr>
      <w:r w:rsidRPr="00E54204">
        <w:rPr>
          <w:rStyle w:val="FootnoteReference"/>
        </w:rPr>
        <w:footnoteRef/>
      </w:r>
      <w:r w:rsidRPr="00E54204">
        <w:t xml:space="preserve"> See Reimund Beiringer,ed., et al., </w:t>
      </w:r>
      <w:r w:rsidRPr="00E54204">
        <w:rPr>
          <w:i/>
        </w:rPr>
        <w:t>The New Testament and Rabbinic Literature</w:t>
      </w:r>
      <w:r w:rsidRPr="00E54204">
        <w:t xml:space="preserve"> (Leiden: Brill, 2010), 99.</w:t>
      </w:r>
    </w:p>
    <w:p w14:paraId="4FDC2BF8" w14:textId="77777777" w:rsidR="00E54204" w:rsidRPr="00E54204" w:rsidRDefault="00E54204">
      <w:pPr>
        <w:pStyle w:val="FootnoteText"/>
      </w:pPr>
    </w:p>
  </w:footnote>
  <w:footnote w:id="415">
    <w:p w14:paraId="4C8FBB5C" w14:textId="77777777" w:rsidR="00E54204" w:rsidRPr="00E54204" w:rsidRDefault="00E54204" w:rsidP="00ED18D8">
      <w:pPr>
        <w:pStyle w:val="FootnoteText"/>
      </w:pPr>
      <w:r w:rsidRPr="00E54204">
        <w:rPr>
          <w:rStyle w:val="FootnoteReference"/>
        </w:rPr>
        <w:footnoteRef/>
      </w:r>
      <w:r w:rsidRPr="00E54204">
        <w:t xml:space="preserve"> William Scott Green upheld that the main purpose of these attributions was to separate from whom traditions were received from.  Cf. Bieringer et al., </w:t>
      </w:r>
      <w:r w:rsidRPr="00E54204">
        <w:rPr>
          <w:i/>
        </w:rPr>
        <w:t>The New</w:t>
      </w:r>
      <w:r w:rsidRPr="00E54204">
        <w:t xml:space="preserve"> </w:t>
      </w:r>
      <w:r w:rsidRPr="00E54204">
        <w:rPr>
          <w:i/>
        </w:rPr>
        <w:t>Testament</w:t>
      </w:r>
      <w:r w:rsidRPr="00E54204">
        <w:t>, 99.</w:t>
      </w:r>
    </w:p>
    <w:p w14:paraId="41139256" w14:textId="77777777" w:rsidR="00E54204" w:rsidRPr="00E54204" w:rsidRDefault="00E54204" w:rsidP="00ED18D8">
      <w:pPr>
        <w:pStyle w:val="FootnoteText"/>
      </w:pPr>
    </w:p>
  </w:footnote>
  <w:footnote w:id="416">
    <w:p w14:paraId="26E1C5E2" w14:textId="77777777" w:rsidR="00E54204" w:rsidRPr="00E54204" w:rsidRDefault="00E54204" w:rsidP="00ED18D8">
      <w:pPr>
        <w:pStyle w:val="FootnoteText"/>
      </w:pPr>
      <w:r w:rsidRPr="00E54204">
        <w:rPr>
          <w:rStyle w:val="FootnoteReference"/>
        </w:rPr>
        <w:footnoteRef/>
      </w:r>
      <w:r w:rsidRPr="00E54204">
        <w:t xml:space="preserve"> M. </w:t>
      </w:r>
      <w:r w:rsidRPr="00E54204">
        <w:rPr>
          <w:i/>
        </w:rPr>
        <w:t>Kelim</w:t>
      </w:r>
      <w:r w:rsidRPr="00E54204">
        <w:t xml:space="preserve"> 5:10.</w:t>
      </w:r>
    </w:p>
    <w:p w14:paraId="3E71445F" w14:textId="77777777" w:rsidR="00E54204" w:rsidRPr="00E54204" w:rsidRDefault="00E54204" w:rsidP="00ED18D8">
      <w:pPr>
        <w:pStyle w:val="FootnoteText"/>
      </w:pPr>
    </w:p>
  </w:footnote>
  <w:footnote w:id="417">
    <w:p w14:paraId="1A58BF1D" w14:textId="77777777" w:rsidR="00E54204" w:rsidRPr="00E54204" w:rsidRDefault="00E54204" w:rsidP="00ED18D8">
      <w:pPr>
        <w:pStyle w:val="FootnoteText"/>
      </w:pPr>
      <w:r w:rsidRPr="00E54204">
        <w:rPr>
          <w:rStyle w:val="FootnoteReference"/>
        </w:rPr>
        <w:footnoteRef/>
      </w:r>
      <w:r w:rsidRPr="00E54204">
        <w:t xml:space="preserve"> T. </w:t>
      </w:r>
      <w:r w:rsidRPr="00E54204">
        <w:rPr>
          <w:i/>
        </w:rPr>
        <w:t xml:space="preserve">Eduyot </w:t>
      </w:r>
      <w:r w:rsidRPr="00E54204">
        <w:t xml:space="preserve">2:1.  Lists four items R. Eliezer deemed pure or clean, and the sages impure, with the “oven of Aknai” being one of those.  See Rubenstein, </w:t>
      </w:r>
      <w:r w:rsidRPr="00E54204">
        <w:rPr>
          <w:i/>
        </w:rPr>
        <w:t>Talmudic</w:t>
      </w:r>
      <w:r w:rsidRPr="00E54204">
        <w:t>, 48.</w:t>
      </w:r>
    </w:p>
    <w:p w14:paraId="59A883C4" w14:textId="77777777" w:rsidR="00E54204" w:rsidRPr="00E54204" w:rsidRDefault="00E54204" w:rsidP="00ED18D8">
      <w:pPr>
        <w:pStyle w:val="FootnoteText"/>
      </w:pPr>
    </w:p>
  </w:footnote>
  <w:footnote w:id="418">
    <w:p w14:paraId="30D3D3F1" w14:textId="77777777" w:rsidR="00E54204" w:rsidRPr="00E54204" w:rsidRDefault="00E54204" w:rsidP="00ED18D8">
      <w:pPr>
        <w:pStyle w:val="FootnoteText"/>
      </w:pPr>
      <w:r w:rsidRPr="00E54204">
        <w:rPr>
          <w:rStyle w:val="FootnoteReference"/>
        </w:rPr>
        <w:footnoteRef/>
      </w:r>
      <w:r w:rsidRPr="00E54204">
        <w:t xml:space="preserve"> J. M.K.,</w:t>
      </w:r>
      <w:r w:rsidRPr="00E54204">
        <w:rPr>
          <w:i/>
        </w:rPr>
        <w:t xml:space="preserve"> </w:t>
      </w:r>
      <w:r w:rsidRPr="00E54204">
        <w:t>81c-d.</w:t>
      </w:r>
    </w:p>
    <w:p w14:paraId="497680F1" w14:textId="77777777" w:rsidR="00E54204" w:rsidRPr="00E54204" w:rsidRDefault="00E54204" w:rsidP="00ED18D8">
      <w:pPr>
        <w:pStyle w:val="FootnoteText"/>
      </w:pPr>
    </w:p>
  </w:footnote>
  <w:footnote w:id="419">
    <w:p w14:paraId="623D86D3" w14:textId="77777777" w:rsidR="00E54204" w:rsidRPr="00E54204" w:rsidRDefault="00E54204" w:rsidP="00ED18D8">
      <w:pPr>
        <w:pStyle w:val="FootnoteText"/>
      </w:pPr>
      <w:r w:rsidRPr="00E54204">
        <w:rPr>
          <w:rStyle w:val="FootnoteReference"/>
        </w:rPr>
        <w:footnoteRef/>
      </w:r>
      <w:r w:rsidRPr="00E54204">
        <w:t xml:space="preserve"> Steinsaltz, </w:t>
      </w:r>
      <w:r w:rsidRPr="00E54204">
        <w:rPr>
          <w:i/>
        </w:rPr>
        <w:t>Talmudic Images</w:t>
      </w:r>
      <w:r w:rsidRPr="00E54204">
        <w:t>, 60-61.</w:t>
      </w:r>
    </w:p>
    <w:p w14:paraId="6D6A2E5B" w14:textId="77777777" w:rsidR="00E54204" w:rsidRPr="00E54204" w:rsidRDefault="00E54204" w:rsidP="00ED18D8">
      <w:pPr>
        <w:pStyle w:val="FootnoteText"/>
      </w:pPr>
    </w:p>
  </w:footnote>
  <w:footnote w:id="420">
    <w:p w14:paraId="1D8153DE" w14:textId="77777777" w:rsidR="00E54204" w:rsidRPr="00E54204" w:rsidRDefault="00E54204" w:rsidP="00ED18D8">
      <w:pPr>
        <w:pStyle w:val="FootnoteText"/>
      </w:pPr>
      <w:r w:rsidRPr="00E54204">
        <w:rPr>
          <w:rStyle w:val="FootnoteReference"/>
        </w:rPr>
        <w:footnoteRef/>
      </w:r>
      <w:r w:rsidRPr="00E54204">
        <w:t xml:space="preserve"> Deut. 30:11-12 reads, “For this commandment which I command you today is not too mysterious for you, nor is it far off.  It is not in heaven, that you should say, ‘Who will ascend into heaven for us and bring it to us that we may hear it and do it?”  The context here refers to obeying the words of the covenant.  The second text, Exodus 23:2 reads, “You shall not follow a crowd to do evil; nor shall you testify in a dispute so as to turn aside after many to pervert justice.”  The passage seems to carry the opposite meaning of how it was quoted. </w:t>
      </w:r>
    </w:p>
    <w:p w14:paraId="057B3A67" w14:textId="77777777" w:rsidR="00E54204" w:rsidRPr="00E54204" w:rsidRDefault="00E54204" w:rsidP="00ED18D8">
      <w:pPr>
        <w:pStyle w:val="FootnoteText"/>
      </w:pPr>
    </w:p>
  </w:footnote>
  <w:footnote w:id="421">
    <w:p w14:paraId="637C3138" w14:textId="77777777" w:rsidR="00E54204" w:rsidRPr="00E54204" w:rsidRDefault="00E54204" w:rsidP="00ED18D8">
      <w:pPr>
        <w:pStyle w:val="FootnoteText"/>
      </w:pPr>
      <w:r w:rsidRPr="00E54204">
        <w:rPr>
          <w:rStyle w:val="FootnoteReference"/>
        </w:rPr>
        <w:footnoteRef/>
      </w:r>
      <w:r w:rsidRPr="00E54204">
        <w:t xml:space="preserve"> In addition, his having been accused of </w:t>
      </w:r>
      <w:r w:rsidRPr="00E54204">
        <w:rPr>
          <w:i/>
        </w:rPr>
        <w:t>minim</w:t>
      </w:r>
      <w:r w:rsidRPr="00E54204">
        <w:t xml:space="preserve"> (“heresy”) at one point, raises even greater suspicion as to what exactly prompted his excommunication.  For an intriguing read see Daniel Boyarin </w:t>
      </w:r>
      <w:r w:rsidRPr="00E54204">
        <w:rPr>
          <w:i/>
        </w:rPr>
        <w:t xml:space="preserve">Dying for God, </w:t>
      </w:r>
      <w:r w:rsidRPr="00E54204">
        <w:t>156.</w:t>
      </w:r>
    </w:p>
    <w:p w14:paraId="2E792D34" w14:textId="77777777" w:rsidR="00E54204" w:rsidRPr="00E54204" w:rsidRDefault="00E54204" w:rsidP="00ED18D8">
      <w:pPr>
        <w:pStyle w:val="FootnoteText"/>
      </w:pPr>
    </w:p>
  </w:footnote>
  <w:footnote w:id="422">
    <w:p w14:paraId="79C7E107" w14:textId="77777777" w:rsidR="00E54204" w:rsidRPr="00E54204" w:rsidRDefault="00E54204" w:rsidP="00ED18D8">
      <w:pPr>
        <w:pStyle w:val="FootnoteText"/>
      </w:pPr>
      <w:r w:rsidRPr="00E54204">
        <w:rPr>
          <w:rStyle w:val="FootnoteReference"/>
        </w:rPr>
        <w:footnoteRef/>
      </w:r>
      <w:r w:rsidRPr="00E54204">
        <w:t xml:space="preserve"> Alexander Guttmann, </w:t>
      </w:r>
      <w:r w:rsidRPr="00E54204">
        <w:rPr>
          <w:i/>
        </w:rPr>
        <w:t xml:space="preserve">The Significance of Miracles in Talmudic Judaism </w:t>
      </w:r>
      <w:r w:rsidRPr="00E54204">
        <w:t>(</w:t>
      </w:r>
      <w:r w:rsidRPr="00E54204">
        <w:rPr>
          <w:bCs/>
        </w:rPr>
        <w:t>Cincinnati: Hebrew Union College Annual, 1947), 386.</w:t>
      </w:r>
    </w:p>
    <w:p w14:paraId="0410D224" w14:textId="77777777" w:rsidR="00E54204" w:rsidRPr="00E54204" w:rsidRDefault="00E54204" w:rsidP="00ED18D8">
      <w:pPr>
        <w:pStyle w:val="FootnoteText"/>
      </w:pPr>
    </w:p>
  </w:footnote>
  <w:footnote w:id="423">
    <w:p w14:paraId="145A67A7" w14:textId="77777777" w:rsidR="00E54204" w:rsidRPr="00E54204" w:rsidRDefault="00E54204" w:rsidP="001F6FCC">
      <w:pPr>
        <w:pStyle w:val="FootnoteText"/>
      </w:pPr>
      <w:r w:rsidRPr="00E54204">
        <w:rPr>
          <w:rStyle w:val="FootnoteReference"/>
        </w:rPr>
        <w:footnoteRef/>
      </w:r>
      <w:r w:rsidRPr="00E54204">
        <w:t xml:space="preserve"> The incidents found in T. </w:t>
      </w:r>
      <w:r w:rsidRPr="00E54204">
        <w:rPr>
          <w:i/>
        </w:rPr>
        <w:t xml:space="preserve">Chullin </w:t>
      </w:r>
      <w:r w:rsidRPr="00E54204">
        <w:t xml:space="preserve">2:24 and B. </w:t>
      </w:r>
      <w:r w:rsidRPr="00E54204">
        <w:rPr>
          <w:i/>
        </w:rPr>
        <w:t xml:space="preserve">Avodah Zarah </w:t>
      </w:r>
      <w:r w:rsidRPr="00E54204">
        <w:t>16b-17a.</w:t>
      </w:r>
    </w:p>
    <w:p w14:paraId="6B472A76" w14:textId="77777777" w:rsidR="00E54204" w:rsidRPr="00E54204" w:rsidRDefault="00E54204" w:rsidP="001F6FCC">
      <w:pPr>
        <w:pStyle w:val="FootnoteText"/>
      </w:pPr>
    </w:p>
  </w:footnote>
  <w:footnote w:id="424">
    <w:p w14:paraId="2434E4EF" w14:textId="77777777" w:rsidR="00E54204" w:rsidRPr="00E54204" w:rsidRDefault="00E54204">
      <w:pPr>
        <w:pStyle w:val="FootnoteText"/>
      </w:pPr>
      <w:r w:rsidRPr="00E54204">
        <w:rPr>
          <w:rStyle w:val="FootnoteReference"/>
        </w:rPr>
        <w:footnoteRef/>
      </w:r>
      <w:r w:rsidRPr="00E54204">
        <w:t xml:space="preserve"> </w:t>
      </w:r>
      <w:r w:rsidRPr="00E54204">
        <w:rPr>
          <w:bCs/>
        </w:rPr>
        <w:t xml:space="preserve">If ruled to be susceptible to ritual impurity it would have to be destroyed upon contracting the status of impure.  If not, then by purifying the oven through immersion would permit the oven to be reused in the case it is believed to have contracted ritual impurity. </w:t>
      </w:r>
    </w:p>
    <w:p w14:paraId="1C3F663D" w14:textId="77777777" w:rsidR="00E54204" w:rsidRPr="00E54204" w:rsidRDefault="00E54204">
      <w:pPr>
        <w:pStyle w:val="FootnoteText"/>
      </w:pPr>
    </w:p>
  </w:footnote>
  <w:footnote w:id="425">
    <w:p w14:paraId="4741FB97" w14:textId="77777777" w:rsidR="00E54204" w:rsidRPr="00E54204" w:rsidRDefault="00E54204" w:rsidP="00ED18D8">
      <w:pPr>
        <w:pStyle w:val="FootnoteText"/>
      </w:pPr>
      <w:r w:rsidRPr="00E54204">
        <w:rPr>
          <w:rStyle w:val="FootnoteReference"/>
        </w:rPr>
        <w:footnoteRef/>
      </w:r>
      <w:r w:rsidRPr="00E54204">
        <w:t xml:space="preserve"> As referred to in the previous chapter there is also a minimal oracular function which is ascribed to the </w:t>
      </w:r>
      <w:r w:rsidRPr="00E54204">
        <w:rPr>
          <w:i/>
        </w:rPr>
        <w:t>bat kol</w:t>
      </w:r>
      <w:r w:rsidRPr="00E54204">
        <w:t xml:space="preserve">.  In the opinion, of Saul Lieberman, this function became more popular from the third century CE and on, after the period of the </w:t>
      </w:r>
      <w:r w:rsidRPr="00E54204">
        <w:rPr>
          <w:i/>
        </w:rPr>
        <w:t>Tannaim</w:t>
      </w:r>
      <w:r w:rsidRPr="00E54204">
        <w:t>.  No clear examples of this kind are found in the Bavli.  The Yerushalmi does contain a clear example of this function, in J. Sh.</w:t>
      </w:r>
      <w:r w:rsidRPr="00E54204">
        <w:rPr>
          <w:i/>
        </w:rPr>
        <w:t xml:space="preserve"> </w:t>
      </w:r>
      <w:r w:rsidRPr="00E54204">
        <w:t>6:9; two stories contained therein illustrate the point.  The first depicts Bar Kappara going into a town and hearing children reciting a verse from Exodus 21:3, “If he comes in by himself, he shall go out by himself; if he </w:t>
      </w:r>
      <w:r w:rsidRPr="00E54204">
        <w:rPr>
          <w:i/>
          <w:iCs/>
        </w:rPr>
        <w:t>comes in</w:t>
      </w:r>
      <w:r w:rsidRPr="00E54204">
        <w:t xml:space="preserve"> married, then his wife shall go out with him,” speaking about a Hebrew slave.  The children’s recitation is understood to be prophetic.  The second portrays R. Yohanan and R. Simeon b. Lakish planning to visit their colleague Samuel, in Babylon.  As they passed a class, they heard the children read from a verse that said, “And Samuel died” and they understood this to be an omen. </w:t>
      </w:r>
    </w:p>
    <w:p w14:paraId="495DA9FE" w14:textId="77777777" w:rsidR="00E54204" w:rsidRPr="00E54204" w:rsidRDefault="00E54204" w:rsidP="00ED18D8">
      <w:pPr>
        <w:pStyle w:val="FootnoteText"/>
      </w:pPr>
    </w:p>
  </w:footnote>
  <w:footnote w:id="426">
    <w:p w14:paraId="294F62D2" w14:textId="77777777" w:rsidR="00E54204" w:rsidRPr="00E54204" w:rsidRDefault="00E54204" w:rsidP="00ED18D8">
      <w:pPr>
        <w:pStyle w:val="FootnoteText"/>
        <w:rPr>
          <w:bCs/>
        </w:rPr>
      </w:pPr>
      <w:r w:rsidRPr="00E54204">
        <w:rPr>
          <w:rStyle w:val="FootnoteReference"/>
        </w:rPr>
        <w:footnoteRef/>
      </w:r>
      <w:r w:rsidRPr="00E54204">
        <w:t xml:space="preserve"> See </w:t>
      </w:r>
      <w:r w:rsidRPr="00E54204">
        <w:rPr>
          <w:bCs/>
        </w:rPr>
        <w:t xml:space="preserve">Josephus </w:t>
      </w:r>
      <w:r w:rsidRPr="00E54204">
        <w:rPr>
          <w:bCs/>
          <w:i/>
        </w:rPr>
        <w:t>Ant</w:t>
      </w:r>
      <w:r w:rsidRPr="00E54204">
        <w:rPr>
          <w:bCs/>
        </w:rPr>
        <w:t xml:space="preserve">. XIII, 10, 3.   </w:t>
      </w:r>
    </w:p>
    <w:p w14:paraId="658EDB31" w14:textId="77777777" w:rsidR="00E54204" w:rsidRPr="00E54204" w:rsidRDefault="00E54204" w:rsidP="00ED18D8">
      <w:pPr>
        <w:pStyle w:val="FootnoteText"/>
      </w:pPr>
    </w:p>
  </w:footnote>
  <w:footnote w:id="427">
    <w:p w14:paraId="347BDCE4" w14:textId="77777777" w:rsidR="00E54204" w:rsidRPr="00E54204" w:rsidRDefault="00E54204" w:rsidP="00ED18D8">
      <w:pPr>
        <w:pStyle w:val="FootnoteText"/>
      </w:pPr>
      <w:r w:rsidRPr="00E54204">
        <w:rPr>
          <w:rStyle w:val="FootnoteReference"/>
        </w:rPr>
        <w:footnoteRef/>
      </w:r>
      <w:r w:rsidRPr="00E54204">
        <w:t xml:space="preserve"> John Hyrcanus was a Maccabean ruler (134-104 BCE).  </w:t>
      </w:r>
    </w:p>
    <w:p w14:paraId="0ED5D47F" w14:textId="77777777" w:rsidR="00E54204" w:rsidRPr="00E54204" w:rsidRDefault="00E54204" w:rsidP="00ED18D8">
      <w:pPr>
        <w:pStyle w:val="FootnoteText"/>
      </w:pPr>
    </w:p>
  </w:footnote>
  <w:footnote w:id="428">
    <w:p w14:paraId="3C45D26C" w14:textId="77777777" w:rsidR="00E54204" w:rsidRPr="00E54204" w:rsidRDefault="00E54204" w:rsidP="00ED18D8">
      <w:pPr>
        <w:pStyle w:val="FootnoteText"/>
      </w:pPr>
      <w:r w:rsidRPr="00E54204">
        <w:rPr>
          <w:rStyle w:val="FootnoteReference"/>
        </w:rPr>
        <w:footnoteRef/>
      </w:r>
      <w:r w:rsidRPr="00E54204">
        <w:t xml:space="preserve"> Priest who lived during the fourth and third century BCE, believed to have greeted Alexander the Great.  He made repairs to the Temple and helped strengthen the fortifications of the city.  He stated that the world rests on three things: Torah, the Temple, and works of charity.  Cf. Moore, </w:t>
      </w:r>
      <w:r w:rsidRPr="00E54204">
        <w:rPr>
          <w:i/>
        </w:rPr>
        <w:t>Judaism</w:t>
      </w:r>
      <w:r w:rsidRPr="00E54204">
        <w:t>, vol. I, 34-35.</w:t>
      </w:r>
    </w:p>
    <w:p w14:paraId="5DA63B3F" w14:textId="77777777" w:rsidR="00E54204" w:rsidRPr="00E54204" w:rsidRDefault="00E54204" w:rsidP="00ED18D8">
      <w:pPr>
        <w:pStyle w:val="FootnoteText"/>
      </w:pPr>
    </w:p>
  </w:footnote>
  <w:footnote w:id="429">
    <w:p w14:paraId="4D3BBAB3" w14:textId="77777777" w:rsidR="00E54204" w:rsidRPr="00E54204" w:rsidRDefault="00E54204" w:rsidP="00ED18D8">
      <w:pPr>
        <w:pStyle w:val="FootnoteText"/>
      </w:pPr>
      <w:r w:rsidRPr="00E54204">
        <w:rPr>
          <w:rStyle w:val="FootnoteReference"/>
        </w:rPr>
        <w:footnoteRef/>
      </w:r>
      <w:r w:rsidRPr="00E54204">
        <w:t xml:space="preserve"> Translation from Epstein, </w:t>
      </w:r>
      <w:r w:rsidRPr="00E54204">
        <w:rPr>
          <w:i/>
        </w:rPr>
        <w:t>Hebrew</w:t>
      </w:r>
      <w:r w:rsidRPr="00E54204">
        <w:t xml:space="preserve">, B. </w:t>
      </w:r>
      <w:r w:rsidRPr="00E54204">
        <w:rPr>
          <w:i/>
        </w:rPr>
        <w:t xml:space="preserve">Sotah </w:t>
      </w:r>
      <w:r w:rsidRPr="00E54204">
        <w:t>33a.</w:t>
      </w:r>
    </w:p>
    <w:p w14:paraId="07764491" w14:textId="77777777" w:rsidR="00E54204" w:rsidRPr="00E54204" w:rsidRDefault="00E54204" w:rsidP="00ED18D8">
      <w:pPr>
        <w:pStyle w:val="FootnoteText"/>
      </w:pPr>
    </w:p>
  </w:footnote>
  <w:footnote w:id="430">
    <w:p w14:paraId="5F31127D" w14:textId="77777777" w:rsidR="00E54204" w:rsidRPr="00E54204" w:rsidRDefault="00E54204" w:rsidP="00ED18D8">
      <w:pPr>
        <w:pStyle w:val="FootnoteText"/>
      </w:pPr>
      <w:r w:rsidRPr="00E54204">
        <w:rPr>
          <w:rStyle w:val="FootnoteReference"/>
        </w:rPr>
        <w:footnoteRef/>
      </w:r>
      <w:r w:rsidRPr="00E54204">
        <w:t xml:space="preserve"> M. </w:t>
      </w:r>
      <w:r w:rsidRPr="00E54204">
        <w:rPr>
          <w:i/>
        </w:rPr>
        <w:t xml:space="preserve">Sotah </w:t>
      </w:r>
      <w:r w:rsidRPr="00E54204">
        <w:t>7:1-6.</w:t>
      </w:r>
    </w:p>
    <w:p w14:paraId="789F3EDE" w14:textId="77777777" w:rsidR="00E54204" w:rsidRPr="00E54204" w:rsidRDefault="00E54204" w:rsidP="00ED18D8">
      <w:pPr>
        <w:pStyle w:val="FootnoteText"/>
      </w:pPr>
    </w:p>
  </w:footnote>
  <w:footnote w:id="431">
    <w:p w14:paraId="103BB559" w14:textId="77777777" w:rsidR="00E54204" w:rsidRPr="00E54204" w:rsidRDefault="00E54204" w:rsidP="00ED18D8">
      <w:pPr>
        <w:pStyle w:val="FootnoteText"/>
      </w:pPr>
      <w:r w:rsidRPr="00E54204">
        <w:rPr>
          <w:rStyle w:val="FootnoteReference"/>
        </w:rPr>
        <w:footnoteRef/>
      </w:r>
      <w:r w:rsidRPr="00E54204">
        <w:t xml:space="preserve"> The paragraph of the suspected adulteress (“Sotah”), the confession in bringing the second tithe [Deut. 26:13-15], the recital of the </w:t>
      </w:r>
      <w:r w:rsidRPr="00E54204">
        <w:rPr>
          <w:i/>
        </w:rPr>
        <w:t>Sh’ma</w:t>
      </w:r>
      <w:r w:rsidRPr="00E54204">
        <w:t xml:space="preserve">, the </w:t>
      </w:r>
      <w:r w:rsidRPr="00E54204">
        <w:rPr>
          <w:i/>
        </w:rPr>
        <w:t xml:space="preserve">Tefillah </w:t>
      </w:r>
      <w:r w:rsidRPr="00E54204">
        <w:t>(i.e., “eighteen benedictions”), the grace after meals, the oath of testimony (against withholding evidence), and the oath of the deposit (that it has not been stolen if found missing).</w:t>
      </w:r>
    </w:p>
    <w:p w14:paraId="5DA8E3FB" w14:textId="77777777" w:rsidR="00E54204" w:rsidRPr="00E54204" w:rsidRDefault="00E54204" w:rsidP="00ED18D8">
      <w:pPr>
        <w:pStyle w:val="FootnoteText"/>
      </w:pPr>
    </w:p>
  </w:footnote>
  <w:footnote w:id="432">
    <w:p w14:paraId="333F0D6B" w14:textId="77777777" w:rsidR="00E54204" w:rsidRPr="00E54204" w:rsidRDefault="00E54204" w:rsidP="00ED18D8">
      <w:pPr>
        <w:pStyle w:val="FootnoteText"/>
      </w:pPr>
      <w:r w:rsidRPr="00E54204">
        <w:rPr>
          <w:rStyle w:val="FootnoteReference"/>
        </w:rPr>
        <w:footnoteRef/>
      </w:r>
      <w:r w:rsidRPr="00E54204">
        <w:t xml:space="preserve"> Offering of the first fruits, the formula of </w:t>
      </w:r>
      <w:r w:rsidRPr="00E54204">
        <w:rPr>
          <w:i/>
        </w:rPr>
        <w:t>halitza</w:t>
      </w:r>
      <w:r w:rsidRPr="00E54204">
        <w:t xml:space="preserve"> (ceremony freeing a widow from marrying her brother in-law), the Blessings and the Curses, the priestly benediction (Num. 6:24ff), blessings of the High Priest, the section of the king, the section of the calf whose neck is to be broken, and the words addressed to the people by the priest in battle.</w:t>
      </w:r>
    </w:p>
    <w:p w14:paraId="14F297AB" w14:textId="77777777" w:rsidR="00E54204" w:rsidRPr="00E54204" w:rsidRDefault="00E54204" w:rsidP="00ED18D8">
      <w:pPr>
        <w:pStyle w:val="FootnoteText"/>
      </w:pPr>
    </w:p>
  </w:footnote>
  <w:footnote w:id="433">
    <w:p w14:paraId="39B12DC6" w14:textId="77777777" w:rsidR="00E54204" w:rsidRPr="00E54204" w:rsidRDefault="00E54204" w:rsidP="00ED18D8">
      <w:pPr>
        <w:pStyle w:val="FootnoteText"/>
      </w:pPr>
      <w:r w:rsidRPr="00E54204">
        <w:rPr>
          <w:rStyle w:val="FootnoteReference"/>
        </w:rPr>
        <w:footnoteRef/>
      </w:r>
      <w:r w:rsidRPr="00E54204">
        <w:t xml:space="preserve"> Maimonides, compared this description of the </w:t>
      </w:r>
      <w:r w:rsidRPr="00E54204">
        <w:rPr>
          <w:i/>
        </w:rPr>
        <w:t>bat kol</w:t>
      </w:r>
      <w:r w:rsidRPr="00E54204">
        <w:t xml:space="preserve"> with that of an angel. Maimonides, </w:t>
      </w:r>
      <w:r w:rsidRPr="00E54204">
        <w:rPr>
          <w:i/>
        </w:rPr>
        <w:t>the Guide for the Perplexed</w:t>
      </w:r>
      <w:r w:rsidRPr="00E54204">
        <w:t>, trans.</w:t>
      </w:r>
      <w:r w:rsidRPr="00E54204">
        <w:rPr>
          <w:rFonts w:cs="Times New Roman"/>
          <w:bCs/>
          <w:color w:val="000000"/>
          <w:sz w:val="24"/>
          <w:szCs w:val="24"/>
        </w:rPr>
        <w:t xml:space="preserve"> </w:t>
      </w:r>
      <w:r w:rsidRPr="00E54204">
        <w:rPr>
          <w:bCs/>
        </w:rPr>
        <w:t>M. Friedländer</w:t>
      </w:r>
      <w:r w:rsidRPr="00E54204">
        <w:t xml:space="preserve"> (London: George Routledge &amp; Sons, 1904), II. 42; quoted by Kohler and Blau, “Bat Kol”; cf. Isidore Singer and Cyrus Adler, </w:t>
      </w:r>
      <w:r w:rsidRPr="00E54204">
        <w:rPr>
          <w:i/>
        </w:rPr>
        <w:t xml:space="preserve">Jewish Encyclopedia </w:t>
      </w:r>
      <w:r w:rsidRPr="00E54204">
        <w:t>(New York: Funk &amp; Wagnalls Co., 1901), 588-592.</w:t>
      </w:r>
    </w:p>
    <w:p w14:paraId="5D35D6AD" w14:textId="77777777" w:rsidR="00E54204" w:rsidRPr="00E54204" w:rsidRDefault="00E54204" w:rsidP="00ED18D8">
      <w:pPr>
        <w:pStyle w:val="FootnoteText"/>
      </w:pPr>
    </w:p>
  </w:footnote>
  <w:footnote w:id="434">
    <w:p w14:paraId="75798B34" w14:textId="77777777" w:rsidR="00E54204" w:rsidRPr="00E54204" w:rsidRDefault="00E54204" w:rsidP="00ED18D8">
      <w:pPr>
        <w:pStyle w:val="FootnoteText"/>
      </w:pPr>
      <w:r w:rsidRPr="00E54204">
        <w:rPr>
          <w:rStyle w:val="FootnoteReference"/>
        </w:rPr>
        <w:footnoteRef/>
      </w:r>
      <w:r w:rsidRPr="00E54204">
        <w:t xml:space="preserve"> Is believed to be Antiochus IX Eusebes, the Seleucid king.</w:t>
      </w:r>
    </w:p>
    <w:p w14:paraId="52DE3A5B" w14:textId="77777777" w:rsidR="00E54204" w:rsidRPr="00E54204" w:rsidRDefault="00E54204" w:rsidP="00ED18D8">
      <w:pPr>
        <w:pStyle w:val="FootnoteText"/>
      </w:pPr>
    </w:p>
  </w:footnote>
  <w:footnote w:id="435">
    <w:p w14:paraId="3271A7A0" w14:textId="77777777" w:rsidR="00E54204" w:rsidRPr="00E54204" w:rsidRDefault="00E54204" w:rsidP="00ED18D8">
      <w:pPr>
        <w:pStyle w:val="FootnoteText"/>
      </w:pPr>
      <w:r w:rsidRPr="00E54204">
        <w:rPr>
          <w:rStyle w:val="FootnoteReference"/>
        </w:rPr>
        <w:footnoteRef/>
      </w:r>
      <w:r w:rsidRPr="00E54204">
        <w:t xml:space="preserve"> Especially during the mid-second century CE.</w:t>
      </w:r>
    </w:p>
    <w:p w14:paraId="4D38748C" w14:textId="77777777" w:rsidR="00E54204" w:rsidRPr="00E54204" w:rsidRDefault="00E54204" w:rsidP="00ED18D8">
      <w:pPr>
        <w:pStyle w:val="FootnoteText"/>
      </w:pPr>
    </w:p>
    <w:p w14:paraId="09DC0D62" w14:textId="77777777" w:rsidR="00E54204" w:rsidRPr="00E54204" w:rsidRDefault="00E54204" w:rsidP="00ED18D8">
      <w:pPr>
        <w:pStyle w:val="FootnoteText"/>
      </w:pPr>
    </w:p>
  </w:footnote>
  <w:footnote w:id="436">
    <w:p w14:paraId="59FA1901" w14:textId="77777777" w:rsidR="00E54204" w:rsidRPr="00E54204" w:rsidRDefault="00E54204" w:rsidP="00ED18D8">
      <w:pPr>
        <w:pStyle w:val="FootnoteText"/>
      </w:pPr>
      <w:r w:rsidRPr="00E54204">
        <w:rPr>
          <w:rStyle w:val="FootnoteReference"/>
        </w:rPr>
        <w:footnoteRef/>
      </w:r>
      <w:r w:rsidRPr="00E54204">
        <w:t xml:space="preserve"> In other parts of rabbinic writings we find a small number of cases where the </w:t>
      </w:r>
      <w:r w:rsidRPr="00E54204">
        <w:rPr>
          <w:i/>
        </w:rPr>
        <w:t xml:space="preserve">bat kol </w:t>
      </w:r>
      <w:r w:rsidRPr="00E54204">
        <w:t xml:space="preserve">is appealed to as a form of direction and or guidance.  Gustaf Dalman made the distinction of two voices: the supernatural phenomenon and the chance-like utterances; cf. Gustaf Dalman and D.M. Kay, </w:t>
      </w:r>
      <w:r w:rsidRPr="00E54204">
        <w:rPr>
          <w:bCs/>
          <w:i/>
          <w:iCs/>
        </w:rPr>
        <w:t>The Words of Jesus Considered in the Light of Post-Biblical Jewish Writings and the Aramaic Language</w:t>
      </w:r>
      <w:r w:rsidRPr="00E54204">
        <w:rPr>
          <w:bCs/>
          <w:iCs/>
        </w:rPr>
        <w:t xml:space="preserve"> (Edinburgh: T. &amp;T. Clark., 1902), 205.</w:t>
      </w:r>
      <w:r w:rsidRPr="00E54204">
        <w:t xml:space="preserve">  </w:t>
      </w:r>
    </w:p>
  </w:footnote>
  <w:footnote w:id="437">
    <w:p w14:paraId="6A9E223D" w14:textId="77777777" w:rsidR="00E54204" w:rsidRPr="00E54204" w:rsidRDefault="00E54204" w:rsidP="00ED18D8">
      <w:pPr>
        <w:pStyle w:val="FootnoteText"/>
        <w:rPr>
          <w:bCs/>
          <w:iCs/>
        </w:rPr>
      </w:pPr>
    </w:p>
  </w:footnote>
  <w:footnote w:id="438">
    <w:p w14:paraId="4F94670F" w14:textId="77777777" w:rsidR="00E54204" w:rsidRPr="00E54204" w:rsidRDefault="00E54204" w:rsidP="00ED18D8">
      <w:pPr>
        <w:pStyle w:val="FootnoteText"/>
      </w:pPr>
      <w:r w:rsidRPr="00E54204">
        <w:rPr>
          <w:rStyle w:val="FootnoteReference"/>
        </w:rPr>
        <w:footnoteRef/>
      </w:r>
      <w:r w:rsidRPr="00E54204">
        <w:t xml:space="preserve"> Lindbeck, </w:t>
      </w:r>
      <w:r w:rsidRPr="00E54204">
        <w:rPr>
          <w:i/>
        </w:rPr>
        <w:t>Elijah</w:t>
      </w:r>
      <w:r w:rsidRPr="00E54204">
        <w:t>, 55-56.</w:t>
      </w:r>
    </w:p>
    <w:p w14:paraId="0B428FAE" w14:textId="77777777" w:rsidR="00E54204" w:rsidRPr="00E54204" w:rsidRDefault="00E54204" w:rsidP="00ED18D8">
      <w:pPr>
        <w:pStyle w:val="FootnoteText"/>
      </w:pPr>
    </w:p>
  </w:footnote>
  <w:footnote w:id="439">
    <w:p w14:paraId="138EC8E6" w14:textId="77777777" w:rsidR="00E54204" w:rsidRPr="00E54204" w:rsidRDefault="00E54204" w:rsidP="0011693A">
      <w:pPr>
        <w:pStyle w:val="FootnoteText"/>
      </w:pPr>
      <w:r w:rsidRPr="00E54204">
        <w:rPr>
          <w:rStyle w:val="FootnoteReference"/>
        </w:rPr>
        <w:footnoteRef/>
      </w:r>
      <w:r w:rsidRPr="00E54204">
        <w:t xml:space="preserve"> To my knowledge there are a little less than three hundred references the majority of which are called </w:t>
      </w:r>
      <w:r w:rsidRPr="00E54204">
        <w:rPr>
          <w:i/>
        </w:rPr>
        <w:t>Haggadic Midrashim</w:t>
      </w:r>
      <w:r w:rsidRPr="00E54204">
        <w:t xml:space="preserve">; two are in </w:t>
      </w:r>
      <w:r w:rsidRPr="00E54204">
        <w:rPr>
          <w:i/>
        </w:rPr>
        <w:t>Halachic Midrashim</w:t>
      </w:r>
      <w:r w:rsidRPr="00E54204">
        <w:t>.</w:t>
      </w:r>
    </w:p>
    <w:p w14:paraId="67BDEC5B" w14:textId="77777777" w:rsidR="00E54204" w:rsidRPr="00E54204" w:rsidRDefault="00E54204" w:rsidP="0011693A">
      <w:pPr>
        <w:pStyle w:val="FootnoteText"/>
      </w:pPr>
    </w:p>
  </w:footnote>
  <w:footnote w:id="440">
    <w:p w14:paraId="7C213FDD" w14:textId="77777777" w:rsidR="00E54204" w:rsidRPr="00E54204" w:rsidRDefault="00E54204" w:rsidP="0011693A">
      <w:pPr>
        <w:pStyle w:val="FootnoteText"/>
      </w:pPr>
      <w:r w:rsidRPr="00E54204">
        <w:rPr>
          <w:rStyle w:val="FootnoteReference"/>
        </w:rPr>
        <w:footnoteRef/>
      </w:r>
      <w:r w:rsidRPr="00E54204">
        <w:t xml:space="preserve"> They are believed to have been written somewhere around the fifth century CE.  Cf. Louis Finkelstein “the Sources of the Tannaitic Midrashim,” </w:t>
      </w:r>
      <w:r w:rsidRPr="00E54204">
        <w:rPr>
          <w:i/>
        </w:rPr>
        <w:t>The Jewish Quarterly Review</w:t>
      </w:r>
      <w:r w:rsidRPr="00E54204">
        <w:t xml:space="preserve"> 31 (3) (1941), 211.  Louis Ginzberg has noted that many Jewish works that were rejected by the synagogue were in fact adopted by the Church.  See Louis Ginzberg, </w:t>
      </w:r>
      <w:r w:rsidRPr="00E54204">
        <w:rPr>
          <w:i/>
        </w:rPr>
        <w:t>Legends of the Jews</w:t>
      </w:r>
      <w:r w:rsidRPr="00E54204">
        <w:t>, vol. I (Philadelphia: Jewish Publication Society, 1954), xii.</w:t>
      </w:r>
    </w:p>
    <w:p w14:paraId="229BF534" w14:textId="77777777" w:rsidR="00E54204" w:rsidRPr="00E54204" w:rsidRDefault="00E54204" w:rsidP="0011693A">
      <w:pPr>
        <w:pStyle w:val="FootnoteText"/>
        <w:rPr>
          <w:i/>
        </w:rPr>
      </w:pPr>
    </w:p>
  </w:footnote>
  <w:footnote w:id="441">
    <w:p w14:paraId="541A7F5E" w14:textId="77777777" w:rsidR="00E54204" w:rsidRPr="00E54204" w:rsidRDefault="00E54204" w:rsidP="0011693A">
      <w:pPr>
        <w:pStyle w:val="FootnoteText"/>
      </w:pPr>
      <w:r w:rsidRPr="00E54204">
        <w:rPr>
          <w:rStyle w:val="FootnoteReference"/>
        </w:rPr>
        <w:footnoteRef/>
      </w:r>
      <w:r w:rsidRPr="00E54204">
        <w:t xml:space="preserve"> Sometimes identified as synonymous with Mt. Sinai.</w:t>
      </w:r>
    </w:p>
    <w:p w14:paraId="17950AD3" w14:textId="77777777" w:rsidR="00E54204" w:rsidRPr="00E54204" w:rsidRDefault="00E54204" w:rsidP="0011693A">
      <w:pPr>
        <w:pStyle w:val="FootnoteText"/>
      </w:pPr>
    </w:p>
  </w:footnote>
  <w:footnote w:id="442">
    <w:p w14:paraId="4BCCF3AE" w14:textId="77777777" w:rsidR="00E54204" w:rsidRPr="00E54204" w:rsidRDefault="00E54204" w:rsidP="0011693A">
      <w:pPr>
        <w:pStyle w:val="FootnoteText"/>
      </w:pPr>
      <w:r w:rsidRPr="00E54204">
        <w:rPr>
          <w:rStyle w:val="FootnoteReference"/>
        </w:rPr>
        <w:footnoteRef/>
      </w:r>
      <w:r w:rsidRPr="00E54204">
        <w:t xml:space="preserve"> Also of interest is Eusebius’ account of Polycarp’s martyrdom in which a “heavenly voice” appears.  Some scholars believe it to be dated to the second century CE.  Candida Moss argues for an early-third century date in her article “On the Dating of Polycarp: Rethinking the Place of Martyrdom of Polycarp in the History of Christianity” </w:t>
      </w:r>
      <w:r w:rsidRPr="00E54204">
        <w:rPr>
          <w:i/>
        </w:rPr>
        <w:t xml:space="preserve">Early Christianity </w:t>
      </w:r>
      <w:r w:rsidRPr="00E54204">
        <w:t xml:space="preserve">(2010), 539-574.  </w:t>
      </w:r>
    </w:p>
    <w:p w14:paraId="10AD2870" w14:textId="77777777" w:rsidR="00E54204" w:rsidRPr="00E54204" w:rsidRDefault="00E54204" w:rsidP="0011693A">
      <w:pPr>
        <w:pStyle w:val="FootnoteText"/>
      </w:pPr>
    </w:p>
  </w:footnote>
  <w:footnote w:id="443">
    <w:p w14:paraId="5DF51C70" w14:textId="77777777" w:rsidR="00E54204" w:rsidRPr="00E54204" w:rsidRDefault="00E54204" w:rsidP="0011693A">
      <w:pPr>
        <w:pStyle w:val="FootnoteText"/>
      </w:pPr>
      <w:r w:rsidRPr="00E54204">
        <w:rPr>
          <w:rStyle w:val="FootnoteReference"/>
        </w:rPr>
        <w:footnoteRef/>
      </w:r>
      <w:r w:rsidRPr="00E54204">
        <w:t xml:space="preserve"> Some of his works which include this topic include </w:t>
      </w:r>
      <w:r w:rsidRPr="00E54204">
        <w:rPr>
          <w:i/>
        </w:rPr>
        <w:t xml:space="preserve">Netzach Yisrael </w:t>
      </w:r>
      <w:r w:rsidRPr="00E54204">
        <w:t xml:space="preserve">(“Eternity of Israel”) and </w:t>
      </w:r>
      <w:r w:rsidRPr="00E54204">
        <w:rPr>
          <w:i/>
        </w:rPr>
        <w:t xml:space="preserve">Be’er ha-Golah </w:t>
      </w:r>
      <w:r w:rsidRPr="00E54204">
        <w:t>(“The Well of the Diaspora”).</w:t>
      </w:r>
    </w:p>
    <w:p w14:paraId="1F50E708" w14:textId="77777777" w:rsidR="00E54204" w:rsidRPr="00E54204" w:rsidRDefault="00E54204" w:rsidP="0011693A">
      <w:pPr>
        <w:pStyle w:val="FootnoteText"/>
      </w:pPr>
    </w:p>
  </w:footnote>
  <w:footnote w:id="444">
    <w:p w14:paraId="7DBBD86C" w14:textId="77777777" w:rsidR="00E54204" w:rsidRPr="00E54204" w:rsidRDefault="00E54204" w:rsidP="0011693A">
      <w:pPr>
        <w:pStyle w:val="FootnoteText"/>
      </w:pPr>
      <w:r w:rsidRPr="00E54204">
        <w:rPr>
          <w:rStyle w:val="FootnoteReference"/>
        </w:rPr>
        <w:footnoteRef/>
      </w:r>
      <w:r w:rsidRPr="00E54204">
        <w:t xml:space="preserve"> See the story of Elisha ben Abuyah, “Acher” in B. </w:t>
      </w:r>
      <w:r w:rsidRPr="00E54204">
        <w:rPr>
          <w:i/>
        </w:rPr>
        <w:t xml:space="preserve">Chagigah </w:t>
      </w:r>
      <w:r w:rsidRPr="00E54204">
        <w:t>15a where he is punished for mistakenly assuming that there were two powers in heaven.</w:t>
      </w:r>
    </w:p>
    <w:p w14:paraId="2A6AA21E" w14:textId="77777777" w:rsidR="00E54204" w:rsidRPr="00E54204" w:rsidRDefault="00E54204" w:rsidP="0011693A">
      <w:pPr>
        <w:pStyle w:val="FootnoteText"/>
      </w:pPr>
    </w:p>
  </w:footnote>
  <w:footnote w:id="445">
    <w:p w14:paraId="57DA2E8A" w14:textId="77777777" w:rsidR="00E54204" w:rsidRPr="00E54204" w:rsidRDefault="00E54204" w:rsidP="0011693A">
      <w:pPr>
        <w:pStyle w:val="FootnoteText"/>
      </w:pPr>
      <w:r w:rsidRPr="00E54204">
        <w:rPr>
          <w:rStyle w:val="FootnoteReference"/>
        </w:rPr>
        <w:footnoteRef/>
      </w:r>
      <w:r w:rsidRPr="00E54204">
        <w:t xml:space="preserve"> This was especially so during the Hadrianic persecutions during the mid-second century CE.</w:t>
      </w:r>
    </w:p>
    <w:p w14:paraId="68385592" w14:textId="77777777" w:rsidR="00E54204" w:rsidRPr="00E54204" w:rsidRDefault="00E54204" w:rsidP="0011693A">
      <w:pPr>
        <w:pStyle w:val="FootnoteText"/>
      </w:pPr>
    </w:p>
  </w:footnote>
  <w:footnote w:id="446">
    <w:p w14:paraId="5437C264" w14:textId="77777777" w:rsidR="00E54204" w:rsidRPr="00E54204" w:rsidRDefault="00E54204" w:rsidP="0011693A">
      <w:pPr>
        <w:pStyle w:val="FootnoteText"/>
      </w:pPr>
      <w:r w:rsidRPr="00E54204">
        <w:rPr>
          <w:rStyle w:val="FootnoteReference"/>
        </w:rPr>
        <w:footnoteRef/>
      </w:r>
      <w:r w:rsidRPr="00E54204">
        <w:t xml:space="preserve"> They were two major schools of law from the first century BCE to the first century CE, who often debated points of jurisprudence with one another as found in the Talmud.</w:t>
      </w:r>
    </w:p>
    <w:p w14:paraId="7A2955EF" w14:textId="77777777" w:rsidR="00E54204" w:rsidRPr="00E54204" w:rsidRDefault="00E54204" w:rsidP="0011693A">
      <w:pPr>
        <w:pStyle w:val="FootnoteText"/>
      </w:pPr>
    </w:p>
  </w:footnote>
  <w:footnote w:id="447">
    <w:p w14:paraId="1ED2A956" w14:textId="77777777" w:rsidR="00E54204" w:rsidRPr="00E54204" w:rsidRDefault="00E54204" w:rsidP="0011693A">
      <w:pPr>
        <w:pStyle w:val="FootnoteText"/>
      </w:pPr>
      <w:r w:rsidRPr="00E54204">
        <w:rPr>
          <w:rStyle w:val="FootnoteReference"/>
        </w:rPr>
        <w:footnoteRef/>
      </w:r>
      <w:r w:rsidRPr="00E54204">
        <w:t xml:space="preserve"> In other parts of rabbinic writings we find a negligible among of cases where the </w:t>
      </w:r>
      <w:r w:rsidRPr="00E54204">
        <w:rPr>
          <w:i/>
        </w:rPr>
        <w:t xml:space="preserve">bat kol </w:t>
      </w:r>
      <w:r w:rsidRPr="00E54204">
        <w:t xml:space="preserve">is appealed to as a form of direction and or guidance.  Gustaf Dalman made the distinction of two voices: the supernatural phenomenon and the chance-like utterances; cf. Gustaf Dalman and D.M. Kay, </w:t>
      </w:r>
      <w:r w:rsidRPr="00E54204">
        <w:rPr>
          <w:bCs/>
          <w:i/>
          <w:iCs/>
        </w:rPr>
        <w:t>The Words of Jesus Considered in the Light of Post-Biblical Jewish Writings and the Aramaic Language</w:t>
      </w:r>
      <w:r w:rsidRPr="00E54204">
        <w:rPr>
          <w:bCs/>
          <w:iCs/>
        </w:rPr>
        <w:t xml:space="preserve"> (Edinburgh: T. &amp;T. Clark., 1902), 205.</w:t>
      </w:r>
    </w:p>
  </w:footnote>
  <w:footnote w:id="448">
    <w:p w14:paraId="12B7174B" w14:textId="77777777" w:rsidR="00E54204" w:rsidRPr="00E54204" w:rsidRDefault="00E54204" w:rsidP="0011693A">
      <w:pPr>
        <w:pStyle w:val="FootnoteText"/>
        <w:rPr>
          <w:bCs/>
          <w:iCs/>
        </w:rPr>
      </w:pPr>
    </w:p>
  </w:footnote>
  <w:footnote w:id="449">
    <w:p w14:paraId="150563ED" w14:textId="77777777" w:rsidR="00E54204" w:rsidRPr="00E54204" w:rsidRDefault="00E54204" w:rsidP="0011693A">
      <w:pPr>
        <w:pStyle w:val="FootnoteText"/>
      </w:pPr>
      <w:r w:rsidRPr="00E54204">
        <w:rPr>
          <w:rStyle w:val="FootnoteReference"/>
        </w:rPr>
        <w:footnoteRef/>
      </w:r>
      <w:r w:rsidRPr="00E54204">
        <w:t xml:space="preserve"> Lindbeck, </w:t>
      </w:r>
      <w:r w:rsidRPr="00E54204">
        <w:rPr>
          <w:i/>
        </w:rPr>
        <w:t>Elijah</w:t>
      </w:r>
      <w:r w:rsidRPr="00E54204">
        <w:t>, 55-56.</w:t>
      </w:r>
    </w:p>
    <w:p w14:paraId="0AD7401C" w14:textId="77777777" w:rsidR="00E54204" w:rsidRPr="00E54204" w:rsidRDefault="00E54204" w:rsidP="0011693A">
      <w:pPr>
        <w:pStyle w:val="FootnoteText"/>
      </w:pPr>
    </w:p>
  </w:footnote>
  <w:footnote w:id="450">
    <w:p w14:paraId="7EC330CF" w14:textId="77777777" w:rsidR="0096286D" w:rsidRPr="0096286D" w:rsidRDefault="0096286D">
      <w:pPr>
        <w:pStyle w:val="FootnoteText"/>
      </w:pPr>
      <w:r>
        <w:rPr>
          <w:rStyle w:val="FootnoteReference"/>
        </w:rPr>
        <w:footnoteRef/>
      </w:r>
      <w:r>
        <w:t xml:space="preserve"> B. </w:t>
      </w:r>
      <w:r>
        <w:rPr>
          <w:i/>
        </w:rPr>
        <w:t xml:space="preserve">Bava Batra </w:t>
      </w:r>
      <w:r>
        <w:t>12b reads R. Yochanan said that after the destruction of the Temple prophecy has been taken from prophets and given to fools and children.  Thanks to Hacham Yehonatan Elazar-DeMota f</w:t>
      </w:r>
      <w:r w:rsidR="00CC2B49">
        <w:t>or this reference</w:t>
      </w:r>
      <w:r>
        <w:t>.</w:t>
      </w:r>
    </w:p>
  </w:footnote>
  <w:footnote w:id="451">
    <w:p w14:paraId="21346FB6" w14:textId="77777777" w:rsidR="00E54204" w:rsidRPr="00E54204" w:rsidRDefault="00E54204" w:rsidP="0011693A">
      <w:pPr>
        <w:pStyle w:val="FootnoteText"/>
      </w:pPr>
      <w:r w:rsidRPr="00E54204">
        <w:rPr>
          <w:rStyle w:val="FootnoteReference"/>
        </w:rPr>
        <w:footnoteRef/>
      </w:r>
      <w:r w:rsidRPr="00E54204">
        <w:t xml:space="preserve"> Rab Judah (third century) is the one often retelling the stories of the </w:t>
      </w:r>
      <w:r w:rsidRPr="00E54204">
        <w:rPr>
          <w:i/>
        </w:rPr>
        <w:t>bat kol</w:t>
      </w:r>
      <w:r w:rsidRPr="00E54204">
        <w:t xml:space="preserve"> in the name of one of his two teachers, Rav and Shemuel.  This line is connected with R. Judah ha-Nasi himself, who was a major leader/ruler in the second century and who also produced the Mishnah.</w:t>
      </w:r>
    </w:p>
    <w:p w14:paraId="73AE4BFE" w14:textId="77777777" w:rsidR="00E54204" w:rsidRPr="00E54204" w:rsidRDefault="00E54204" w:rsidP="0011693A">
      <w:pPr>
        <w:pStyle w:val="FootnoteText"/>
      </w:pPr>
    </w:p>
  </w:footnote>
  <w:footnote w:id="452">
    <w:p w14:paraId="00A635EE" w14:textId="77777777" w:rsidR="00E54204" w:rsidRDefault="00E54204">
      <w:pPr>
        <w:pStyle w:val="FootnoteText"/>
      </w:pPr>
      <w:r w:rsidRPr="00E54204">
        <w:rPr>
          <w:rStyle w:val="FootnoteReference"/>
        </w:rPr>
        <w:footnoteRef/>
      </w:r>
      <w:r w:rsidRPr="00E54204">
        <w:t xml:space="preserve"> Prof. James Kugel used this expression in a lecture entitled “Modern Scholarship and Traditional Jewish Belief” at a 2013 Limmud conference.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071D4"/>
    <w:multiLevelType w:val="hybridMultilevel"/>
    <w:tmpl w:val="D382C22E"/>
    <w:lvl w:ilvl="0" w:tplc="11A404A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70B3C74"/>
    <w:multiLevelType w:val="hybridMultilevel"/>
    <w:tmpl w:val="62BAD0BA"/>
    <w:lvl w:ilvl="0" w:tplc="69C88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8E5D0C"/>
    <w:multiLevelType w:val="multilevel"/>
    <w:tmpl w:val="DDAC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D1523"/>
    <w:multiLevelType w:val="hybridMultilevel"/>
    <w:tmpl w:val="62D4F6C2"/>
    <w:lvl w:ilvl="0" w:tplc="B27E29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5E3AD5"/>
    <w:multiLevelType w:val="hybridMultilevel"/>
    <w:tmpl w:val="686C7358"/>
    <w:lvl w:ilvl="0" w:tplc="EF3C5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17EE3"/>
    <w:multiLevelType w:val="hybridMultilevel"/>
    <w:tmpl w:val="BE544DC2"/>
    <w:lvl w:ilvl="0" w:tplc="81088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771B3"/>
    <w:multiLevelType w:val="hybridMultilevel"/>
    <w:tmpl w:val="13F29092"/>
    <w:lvl w:ilvl="0" w:tplc="F266FA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473456"/>
    <w:multiLevelType w:val="hybridMultilevel"/>
    <w:tmpl w:val="FE0A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07A9D"/>
    <w:multiLevelType w:val="hybridMultilevel"/>
    <w:tmpl w:val="30C2E776"/>
    <w:lvl w:ilvl="0" w:tplc="D7CA0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063D08"/>
    <w:multiLevelType w:val="multilevel"/>
    <w:tmpl w:val="4086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82679"/>
    <w:multiLevelType w:val="hybridMultilevel"/>
    <w:tmpl w:val="7CE4CD1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A242DC"/>
    <w:multiLevelType w:val="hybridMultilevel"/>
    <w:tmpl w:val="1EFC121E"/>
    <w:lvl w:ilvl="0" w:tplc="A54CD34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DAB5188"/>
    <w:multiLevelType w:val="hybridMultilevel"/>
    <w:tmpl w:val="90F6BFDC"/>
    <w:lvl w:ilvl="0" w:tplc="53F204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06647"/>
    <w:multiLevelType w:val="hybridMultilevel"/>
    <w:tmpl w:val="B7EEC49E"/>
    <w:lvl w:ilvl="0" w:tplc="BAF86E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9D120D"/>
    <w:multiLevelType w:val="hybridMultilevel"/>
    <w:tmpl w:val="DCFA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A85792"/>
    <w:multiLevelType w:val="hybridMultilevel"/>
    <w:tmpl w:val="403A8524"/>
    <w:lvl w:ilvl="0" w:tplc="B9AA4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A54408"/>
    <w:multiLevelType w:val="hybridMultilevel"/>
    <w:tmpl w:val="D9705FA0"/>
    <w:lvl w:ilvl="0" w:tplc="3B9EA5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D325D"/>
    <w:multiLevelType w:val="hybridMultilevel"/>
    <w:tmpl w:val="009A52FA"/>
    <w:lvl w:ilvl="0" w:tplc="9BEE94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5A22886"/>
    <w:multiLevelType w:val="hybridMultilevel"/>
    <w:tmpl w:val="28B630DE"/>
    <w:lvl w:ilvl="0" w:tplc="A31C0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5"/>
  </w:num>
  <w:num w:numId="4">
    <w:abstractNumId w:val="13"/>
  </w:num>
  <w:num w:numId="5">
    <w:abstractNumId w:val="7"/>
  </w:num>
  <w:num w:numId="6">
    <w:abstractNumId w:val="16"/>
  </w:num>
  <w:num w:numId="7">
    <w:abstractNumId w:val="15"/>
  </w:num>
  <w:num w:numId="8">
    <w:abstractNumId w:val="18"/>
  </w:num>
  <w:num w:numId="9">
    <w:abstractNumId w:val="17"/>
  </w:num>
  <w:num w:numId="10">
    <w:abstractNumId w:val="10"/>
  </w:num>
  <w:num w:numId="11">
    <w:abstractNumId w:val="3"/>
  </w:num>
  <w:num w:numId="12">
    <w:abstractNumId w:val="6"/>
  </w:num>
  <w:num w:numId="13">
    <w:abstractNumId w:val="4"/>
  </w:num>
  <w:num w:numId="14">
    <w:abstractNumId w:val="14"/>
  </w:num>
  <w:num w:numId="15">
    <w:abstractNumId w:val="1"/>
  </w:num>
  <w:num w:numId="16">
    <w:abstractNumId w:val="8"/>
  </w:num>
  <w:num w:numId="17">
    <w:abstractNumId w:val="11"/>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CB"/>
    <w:rsid w:val="0000049F"/>
    <w:rsid w:val="0000367A"/>
    <w:rsid w:val="000051DF"/>
    <w:rsid w:val="0000760B"/>
    <w:rsid w:val="000119CE"/>
    <w:rsid w:val="0001298E"/>
    <w:rsid w:val="0001434D"/>
    <w:rsid w:val="000175E1"/>
    <w:rsid w:val="000211D3"/>
    <w:rsid w:val="00024CD6"/>
    <w:rsid w:val="000269A6"/>
    <w:rsid w:val="000310E3"/>
    <w:rsid w:val="00033751"/>
    <w:rsid w:val="00034B4A"/>
    <w:rsid w:val="00037E62"/>
    <w:rsid w:val="0004144E"/>
    <w:rsid w:val="0004162E"/>
    <w:rsid w:val="00043CE6"/>
    <w:rsid w:val="00043EF2"/>
    <w:rsid w:val="00046776"/>
    <w:rsid w:val="00050286"/>
    <w:rsid w:val="00051544"/>
    <w:rsid w:val="000517FE"/>
    <w:rsid w:val="00052782"/>
    <w:rsid w:val="000617C9"/>
    <w:rsid w:val="00065C60"/>
    <w:rsid w:val="00066B2A"/>
    <w:rsid w:val="00071300"/>
    <w:rsid w:val="00073BBB"/>
    <w:rsid w:val="000814B3"/>
    <w:rsid w:val="00082007"/>
    <w:rsid w:val="00083E2C"/>
    <w:rsid w:val="000856EC"/>
    <w:rsid w:val="00086384"/>
    <w:rsid w:val="00087B58"/>
    <w:rsid w:val="00091157"/>
    <w:rsid w:val="00094DCA"/>
    <w:rsid w:val="000A0F8D"/>
    <w:rsid w:val="000A133E"/>
    <w:rsid w:val="000A246D"/>
    <w:rsid w:val="000A2929"/>
    <w:rsid w:val="000A6666"/>
    <w:rsid w:val="000A7DC2"/>
    <w:rsid w:val="000B629A"/>
    <w:rsid w:val="000C074F"/>
    <w:rsid w:val="000D26E8"/>
    <w:rsid w:val="000D5AFC"/>
    <w:rsid w:val="000D5B40"/>
    <w:rsid w:val="000E097C"/>
    <w:rsid w:val="000E10E0"/>
    <w:rsid w:val="000E1A54"/>
    <w:rsid w:val="000E2591"/>
    <w:rsid w:val="000E38FD"/>
    <w:rsid w:val="000E70D1"/>
    <w:rsid w:val="000F05DD"/>
    <w:rsid w:val="000F11AD"/>
    <w:rsid w:val="000F210B"/>
    <w:rsid w:val="000F2B46"/>
    <w:rsid w:val="000F626D"/>
    <w:rsid w:val="000F7590"/>
    <w:rsid w:val="001021FC"/>
    <w:rsid w:val="00105157"/>
    <w:rsid w:val="0010599B"/>
    <w:rsid w:val="00105DC9"/>
    <w:rsid w:val="00105FDC"/>
    <w:rsid w:val="001122E7"/>
    <w:rsid w:val="0011264C"/>
    <w:rsid w:val="00114E82"/>
    <w:rsid w:val="0011609D"/>
    <w:rsid w:val="00116734"/>
    <w:rsid w:val="0011693A"/>
    <w:rsid w:val="00117E18"/>
    <w:rsid w:val="00122394"/>
    <w:rsid w:val="001231F3"/>
    <w:rsid w:val="00123742"/>
    <w:rsid w:val="00125354"/>
    <w:rsid w:val="00125FC9"/>
    <w:rsid w:val="00126C94"/>
    <w:rsid w:val="00133478"/>
    <w:rsid w:val="001371E7"/>
    <w:rsid w:val="001376AD"/>
    <w:rsid w:val="00142620"/>
    <w:rsid w:val="001427DA"/>
    <w:rsid w:val="00144CB7"/>
    <w:rsid w:val="00145F8A"/>
    <w:rsid w:val="00146E45"/>
    <w:rsid w:val="001474C0"/>
    <w:rsid w:val="00147A00"/>
    <w:rsid w:val="0015204B"/>
    <w:rsid w:val="00160805"/>
    <w:rsid w:val="00161078"/>
    <w:rsid w:val="00161542"/>
    <w:rsid w:val="00162CD7"/>
    <w:rsid w:val="001751E9"/>
    <w:rsid w:val="0017641E"/>
    <w:rsid w:val="001805E6"/>
    <w:rsid w:val="00181D52"/>
    <w:rsid w:val="00183268"/>
    <w:rsid w:val="00183B48"/>
    <w:rsid w:val="0018496D"/>
    <w:rsid w:val="00185B6E"/>
    <w:rsid w:val="00186206"/>
    <w:rsid w:val="00193443"/>
    <w:rsid w:val="00193540"/>
    <w:rsid w:val="00193CC9"/>
    <w:rsid w:val="00193EF8"/>
    <w:rsid w:val="0019575F"/>
    <w:rsid w:val="00196E42"/>
    <w:rsid w:val="001971BD"/>
    <w:rsid w:val="001975D0"/>
    <w:rsid w:val="0019785A"/>
    <w:rsid w:val="001979E4"/>
    <w:rsid w:val="001A0A49"/>
    <w:rsid w:val="001A304B"/>
    <w:rsid w:val="001A58FF"/>
    <w:rsid w:val="001A745A"/>
    <w:rsid w:val="001B1072"/>
    <w:rsid w:val="001B397F"/>
    <w:rsid w:val="001B3CA4"/>
    <w:rsid w:val="001B7331"/>
    <w:rsid w:val="001C1433"/>
    <w:rsid w:val="001C22B7"/>
    <w:rsid w:val="001C447D"/>
    <w:rsid w:val="001C5647"/>
    <w:rsid w:val="001C6CA2"/>
    <w:rsid w:val="001C6E7A"/>
    <w:rsid w:val="001D07F3"/>
    <w:rsid w:val="001D3389"/>
    <w:rsid w:val="001D4E0B"/>
    <w:rsid w:val="001D545D"/>
    <w:rsid w:val="001D690C"/>
    <w:rsid w:val="001E32DF"/>
    <w:rsid w:val="001E36C5"/>
    <w:rsid w:val="001E3D09"/>
    <w:rsid w:val="001E41CC"/>
    <w:rsid w:val="001F3ED3"/>
    <w:rsid w:val="001F4538"/>
    <w:rsid w:val="001F482E"/>
    <w:rsid w:val="001F4D6B"/>
    <w:rsid w:val="001F6FCC"/>
    <w:rsid w:val="001F72EB"/>
    <w:rsid w:val="00200ED9"/>
    <w:rsid w:val="00202387"/>
    <w:rsid w:val="00210925"/>
    <w:rsid w:val="00213807"/>
    <w:rsid w:val="002140BA"/>
    <w:rsid w:val="00217216"/>
    <w:rsid w:val="00221C67"/>
    <w:rsid w:val="002220E5"/>
    <w:rsid w:val="00223876"/>
    <w:rsid w:val="0022475A"/>
    <w:rsid w:val="00225079"/>
    <w:rsid w:val="00226551"/>
    <w:rsid w:val="002266AB"/>
    <w:rsid w:val="00230E4C"/>
    <w:rsid w:val="00232054"/>
    <w:rsid w:val="0023212A"/>
    <w:rsid w:val="002416EA"/>
    <w:rsid w:val="00243BEA"/>
    <w:rsid w:val="00244540"/>
    <w:rsid w:val="0024731C"/>
    <w:rsid w:val="002473A4"/>
    <w:rsid w:val="002529BB"/>
    <w:rsid w:val="00252C4C"/>
    <w:rsid w:val="00253336"/>
    <w:rsid w:val="0025334C"/>
    <w:rsid w:val="002535D2"/>
    <w:rsid w:val="00257340"/>
    <w:rsid w:val="00257BF7"/>
    <w:rsid w:val="00261CC1"/>
    <w:rsid w:val="00264AB8"/>
    <w:rsid w:val="00264ED8"/>
    <w:rsid w:val="00265C89"/>
    <w:rsid w:val="00267570"/>
    <w:rsid w:val="00267A8E"/>
    <w:rsid w:val="00270BC6"/>
    <w:rsid w:val="00270DC0"/>
    <w:rsid w:val="00272D36"/>
    <w:rsid w:val="00273127"/>
    <w:rsid w:val="00274D0E"/>
    <w:rsid w:val="00275A3D"/>
    <w:rsid w:val="00281152"/>
    <w:rsid w:val="002819D2"/>
    <w:rsid w:val="002819D9"/>
    <w:rsid w:val="00291822"/>
    <w:rsid w:val="00293447"/>
    <w:rsid w:val="00295FEC"/>
    <w:rsid w:val="0029687B"/>
    <w:rsid w:val="002969D3"/>
    <w:rsid w:val="00297567"/>
    <w:rsid w:val="002A28D8"/>
    <w:rsid w:val="002A30CE"/>
    <w:rsid w:val="002A3508"/>
    <w:rsid w:val="002A5EEC"/>
    <w:rsid w:val="002A6774"/>
    <w:rsid w:val="002A67F4"/>
    <w:rsid w:val="002B2998"/>
    <w:rsid w:val="002B3DC4"/>
    <w:rsid w:val="002B438F"/>
    <w:rsid w:val="002B59CF"/>
    <w:rsid w:val="002B671D"/>
    <w:rsid w:val="002B7205"/>
    <w:rsid w:val="002C0CB3"/>
    <w:rsid w:val="002C0DB3"/>
    <w:rsid w:val="002C1340"/>
    <w:rsid w:val="002C3216"/>
    <w:rsid w:val="002C502B"/>
    <w:rsid w:val="002C6ACB"/>
    <w:rsid w:val="002D038D"/>
    <w:rsid w:val="002D196B"/>
    <w:rsid w:val="002D6933"/>
    <w:rsid w:val="002E055F"/>
    <w:rsid w:val="002E3A00"/>
    <w:rsid w:val="002E3B56"/>
    <w:rsid w:val="002E7669"/>
    <w:rsid w:val="002F2423"/>
    <w:rsid w:val="002F423E"/>
    <w:rsid w:val="002F71E8"/>
    <w:rsid w:val="002F77CD"/>
    <w:rsid w:val="0030108B"/>
    <w:rsid w:val="00301D99"/>
    <w:rsid w:val="0030418C"/>
    <w:rsid w:val="00304B4C"/>
    <w:rsid w:val="003071E5"/>
    <w:rsid w:val="00307D08"/>
    <w:rsid w:val="003148B2"/>
    <w:rsid w:val="00315D99"/>
    <w:rsid w:val="0031618C"/>
    <w:rsid w:val="00320052"/>
    <w:rsid w:val="00321130"/>
    <w:rsid w:val="00321FCC"/>
    <w:rsid w:val="003240E4"/>
    <w:rsid w:val="003242E8"/>
    <w:rsid w:val="003273C6"/>
    <w:rsid w:val="00332B87"/>
    <w:rsid w:val="00333041"/>
    <w:rsid w:val="003342EA"/>
    <w:rsid w:val="00336B7B"/>
    <w:rsid w:val="00337205"/>
    <w:rsid w:val="0033740F"/>
    <w:rsid w:val="003400EF"/>
    <w:rsid w:val="00341F0A"/>
    <w:rsid w:val="0034408D"/>
    <w:rsid w:val="0035436F"/>
    <w:rsid w:val="003544F6"/>
    <w:rsid w:val="00354A8B"/>
    <w:rsid w:val="003558F4"/>
    <w:rsid w:val="003604F8"/>
    <w:rsid w:val="00361E55"/>
    <w:rsid w:val="00362D4B"/>
    <w:rsid w:val="00362F41"/>
    <w:rsid w:val="00363960"/>
    <w:rsid w:val="0036446F"/>
    <w:rsid w:val="0036541A"/>
    <w:rsid w:val="0036720F"/>
    <w:rsid w:val="00367526"/>
    <w:rsid w:val="00371ABD"/>
    <w:rsid w:val="0037544D"/>
    <w:rsid w:val="00376C69"/>
    <w:rsid w:val="003776A0"/>
    <w:rsid w:val="00381783"/>
    <w:rsid w:val="00383006"/>
    <w:rsid w:val="00384115"/>
    <w:rsid w:val="003855E9"/>
    <w:rsid w:val="00386FDA"/>
    <w:rsid w:val="00391C66"/>
    <w:rsid w:val="00395026"/>
    <w:rsid w:val="00395127"/>
    <w:rsid w:val="0039562A"/>
    <w:rsid w:val="0039575F"/>
    <w:rsid w:val="00395EDE"/>
    <w:rsid w:val="00395FB9"/>
    <w:rsid w:val="003A1113"/>
    <w:rsid w:val="003A7211"/>
    <w:rsid w:val="003A7C2D"/>
    <w:rsid w:val="003B0E0A"/>
    <w:rsid w:val="003B272D"/>
    <w:rsid w:val="003B5221"/>
    <w:rsid w:val="003C0757"/>
    <w:rsid w:val="003C0827"/>
    <w:rsid w:val="003C0C6F"/>
    <w:rsid w:val="003C5665"/>
    <w:rsid w:val="003D1B8B"/>
    <w:rsid w:val="003D47B6"/>
    <w:rsid w:val="003D4FB4"/>
    <w:rsid w:val="003D5285"/>
    <w:rsid w:val="003E5B96"/>
    <w:rsid w:val="003E68E7"/>
    <w:rsid w:val="003F1CED"/>
    <w:rsid w:val="003F50B4"/>
    <w:rsid w:val="003F515F"/>
    <w:rsid w:val="004006AF"/>
    <w:rsid w:val="00405E20"/>
    <w:rsid w:val="00406E76"/>
    <w:rsid w:val="00410A07"/>
    <w:rsid w:val="00410C65"/>
    <w:rsid w:val="004135DF"/>
    <w:rsid w:val="00413A11"/>
    <w:rsid w:val="0041413F"/>
    <w:rsid w:val="00417684"/>
    <w:rsid w:val="0042054D"/>
    <w:rsid w:val="00423384"/>
    <w:rsid w:val="00424183"/>
    <w:rsid w:val="00424A9A"/>
    <w:rsid w:val="00424F35"/>
    <w:rsid w:val="004307E8"/>
    <w:rsid w:val="00432D3A"/>
    <w:rsid w:val="00433986"/>
    <w:rsid w:val="0043425E"/>
    <w:rsid w:val="00437B49"/>
    <w:rsid w:val="0044143A"/>
    <w:rsid w:val="004433A2"/>
    <w:rsid w:val="004469CB"/>
    <w:rsid w:val="0044724E"/>
    <w:rsid w:val="004513C6"/>
    <w:rsid w:val="00452DBE"/>
    <w:rsid w:val="00461E6E"/>
    <w:rsid w:val="00465CFF"/>
    <w:rsid w:val="004666AA"/>
    <w:rsid w:val="0046761A"/>
    <w:rsid w:val="00473BC4"/>
    <w:rsid w:val="004775FC"/>
    <w:rsid w:val="0048178F"/>
    <w:rsid w:val="00481F09"/>
    <w:rsid w:val="0048673C"/>
    <w:rsid w:val="004911A5"/>
    <w:rsid w:val="00492433"/>
    <w:rsid w:val="00497B15"/>
    <w:rsid w:val="004A02CB"/>
    <w:rsid w:val="004A0312"/>
    <w:rsid w:val="004A0DB5"/>
    <w:rsid w:val="004A17ED"/>
    <w:rsid w:val="004A308D"/>
    <w:rsid w:val="004B322B"/>
    <w:rsid w:val="004B43AD"/>
    <w:rsid w:val="004B512C"/>
    <w:rsid w:val="004B60D7"/>
    <w:rsid w:val="004B6840"/>
    <w:rsid w:val="004C2C1D"/>
    <w:rsid w:val="004C3A03"/>
    <w:rsid w:val="004C4B17"/>
    <w:rsid w:val="004C6002"/>
    <w:rsid w:val="004C7ACA"/>
    <w:rsid w:val="004D1F1C"/>
    <w:rsid w:val="004D2F41"/>
    <w:rsid w:val="004D2F46"/>
    <w:rsid w:val="004D3BCB"/>
    <w:rsid w:val="004D42A9"/>
    <w:rsid w:val="004D6D82"/>
    <w:rsid w:val="004D7E09"/>
    <w:rsid w:val="004E32A4"/>
    <w:rsid w:val="004E3FF3"/>
    <w:rsid w:val="004E7632"/>
    <w:rsid w:val="004E7CFB"/>
    <w:rsid w:val="004F4043"/>
    <w:rsid w:val="004F429C"/>
    <w:rsid w:val="004F4565"/>
    <w:rsid w:val="005013EA"/>
    <w:rsid w:val="005053D3"/>
    <w:rsid w:val="00505404"/>
    <w:rsid w:val="005079DD"/>
    <w:rsid w:val="00510D07"/>
    <w:rsid w:val="0051186E"/>
    <w:rsid w:val="00511E8D"/>
    <w:rsid w:val="00514F32"/>
    <w:rsid w:val="0051614C"/>
    <w:rsid w:val="00516C1C"/>
    <w:rsid w:val="005173FD"/>
    <w:rsid w:val="00520750"/>
    <w:rsid w:val="0052132B"/>
    <w:rsid w:val="005255D8"/>
    <w:rsid w:val="00526620"/>
    <w:rsid w:val="0053120A"/>
    <w:rsid w:val="0053221E"/>
    <w:rsid w:val="00533227"/>
    <w:rsid w:val="005368F2"/>
    <w:rsid w:val="005472B8"/>
    <w:rsid w:val="0055078C"/>
    <w:rsid w:val="005515C3"/>
    <w:rsid w:val="00552995"/>
    <w:rsid w:val="00553170"/>
    <w:rsid w:val="00554181"/>
    <w:rsid w:val="00554D3D"/>
    <w:rsid w:val="00561654"/>
    <w:rsid w:val="005619C7"/>
    <w:rsid w:val="00571B99"/>
    <w:rsid w:val="00571CF2"/>
    <w:rsid w:val="00573E54"/>
    <w:rsid w:val="00574370"/>
    <w:rsid w:val="00576124"/>
    <w:rsid w:val="005772CF"/>
    <w:rsid w:val="00580086"/>
    <w:rsid w:val="00582708"/>
    <w:rsid w:val="00587678"/>
    <w:rsid w:val="0058768B"/>
    <w:rsid w:val="00587D21"/>
    <w:rsid w:val="0059101B"/>
    <w:rsid w:val="00593A11"/>
    <w:rsid w:val="00595756"/>
    <w:rsid w:val="00597143"/>
    <w:rsid w:val="005A3BE7"/>
    <w:rsid w:val="005A644A"/>
    <w:rsid w:val="005B1043"/>
    <w:rsid w:val="005B3853"/>
    <w:rsid w:val="005B4FA8"/>
    <w:rsid w:val="005D1021"/>
    <w:rsid w:val="005D19F3"/>
    <w:rsid w:val="005D5268"/>
    <w:rsid w:val="005D667D"/>
    <w:rsid w:val="005D6D53"/>
    <w:rsid w:val="005F102B"/>
    <w:rsid w:val="005F1A83"/>
    <w:rsid w:val="005F513D"/>
    <w:rsid w:val="005F7543"/>
    <w:rsid w:val="006000A8"/>
    <w:rsid w:val="00600E6B"/>
    <w:rsid w:val="00602DEC"/>
    <w:rsid w:val="00605657"/>
    <w:rsid w:val="00606598"/>
    <w:rsid w:val="006067B5"/>
    <w:rsid w:val="0061101E"/>
    <w:rsid w:val="006118FC"/>
    <w:rsid w:val="00623839"/>
    <w:rsid w:val="006238A1"/>
    <w:rsid w:val="00624691"/>
    <w:rsid w:val="00625010"/>
    <w:rsid w:val="00625C9D"/>
    <w:rsid w:val="00633307"/>
    <w:rsid w:val="006356B5"/>
    <w:rsid w:val="00635B1E"/>
    <w:rsid w:val="006362F4"/>
    <w:rsid w:val="00637C0D"/>
    <w:rsid w:val="00642063"/>
    <w:rsid w:val="006443A1"/>
    <w:rsid w:val="0064718D"/>
    <w:rsid w:val="00647E0A"/>
    <w:rsid w:val="006557CC"/>
    <w:rsid w:val="00655B5C"/>
    <w:rsid w:val="006603E1"/>
    <w:rsid w:val="00663600"/>
    <w:rsid w:val="00663E91"/>
    <w:rsid w:val="006678C8"/>
    <w:rsid w:val="0067079A"/>
    <w:rsid w:val="00670B13"/>
    <w:rsid w:val="00672C61"/>
    <w:rsid w:val="0068257D"/>
    <w:rsid w:val="0068324F"/>
    <w:rsid w:val="00683BEE"/>
    <w:rsid w:val="00684920"/>
    <w:rsid w:val="00685F44"/>
    <w:rsid w:val="006868B8"/>
    <w:rsid w:val="006916E5"/>
    <w:rsid w:val="00692D62"/>
    <w:rsid w:val="006941DA"/>
    <w:rsid w:val="00696870"/>
    <w:rsid w:val="006A1255"/>
    <w:rsid w:val="006A1E15"/>
    <w:rsid w:val="006A3E2A"/>
    <w:rsid w:val="006A5778"/>
    <w:rsid w:val="006B0E99"/>
    <w:rsid w:val="006B10B0"/>
    <w:rsid w:val="006B54D0"/>
    <w:rsid w:val="006B6277"/>
    <w:rsid w:val="006B7C81"/>
    <w:rsid w:val="006C076C"/>
    <w:rsid w:val="006C44D4"/>
    <w:rsid w:val="006C7F16"/>
    <w:rsid w:val="006D4DD3"/>
    <w:rsid w:val="006E1E28"/>
    <w:rsid w:val="006E5796"/>
    <w:rsid w:val="006E6C63"/>
    <w:rsid w:val="006E723D"/>
    <w:rsid w:val="006F0ACE"/>
    <w:rsid w:val="006F0CA0"/>
    <w:rsid w:val="006F5138"/>
    <w:rsid w:val="006F6014"/>
    <w:rsid w:val="00705D6D"/>
    <w:rsid w:val="00707736"/>
    <w:rsid w:val="007078A1"/>
    <w:rsid w:val="00712402"/>
    <w:rsid w:val="00714588"/>
    <w:rsid w:val="00717BA4"/>
    <w:rsid w:val="00724BCC"/>
    <w:rsid w:val="00724E68"/>
    <w:rsid w:val="00725F53"/>
    <w:rsid w:val="0072643C"/>
    <w:rsid w:val="00731EC0"/>
    <w:rsid w:val="007331E9"/>
    <w:rsid w:val="007338F9"/>
    <w:rsid w:val="0074192D"/>
    <w:rsid w:val="0074201F"/>
    <w:rsid w:val="007449F9"/>
    <w:rsid w:val="00744DC8"/>
    <w:rsid w:val="00745522"/>
    <w:rsid w:val="00747BB6"/>
    <w:rsid w:val="007501B1"/>
    <w:rsid w:val="007510B7"/>
    <w:rsid w:val="00751C3E"/>
    <w:rsid w:val="00760B7F"/>
    <w:rsid w:val="00763841"/>
    <w:rsid w:val="00763E20"/>
    <w:rsid w:val="00766735"/>
    <w:rsid w:val="00766A7A"/>
    <w:rsid w:val="00767E05"/>
    <w:rsid w:val="00767E38"/>
    <w:rsid w:val="00767FD7"/>
    <w:rsid w:val="007709D1"/>
    <w:rsid w:val="00776F85"/>
    <w:rsid w:val="00781D20"/>
    <w:rsid w:val="007836A9"/>
    <w:rsid w:val="0078659B"/>
    <w:rsid w:val="00786D6B"/>
    <w:rsid w:val="00797DAD"/>
    <w:rsid w:val="007A0370"/>
    <w:rsid w:val="007A0CBA"/>
    <w:rsid w:val="007A1225"/>
    <w:rsid w:val="007A21CE"/>
    <w:rsid w:val="007A32EC"/>
    <w:rsid w:val="007A371E"/>
    <w:rsid w:val="007A5A70"/>
    <w:rsid w:val="007A5D88"/>
    <w:rsid w:val="007B247C"/>
    <w:rsid w:val="007B44D4"/>
    <w:rsid w:val="007B6C20"/>
    <w:rsid w:val="007B7D3B"/>
    <w:rsid w:val="007C0F95"/>
    <w:rsid w:val="007C1852"/>
    <w:rsid w:val="007D14E4"/>
    <w:rsid w:val="007D4528"/>
    <w:rsid w:val="007D476D"/>
    <w:rsid w:val="007D7AF4"/>
    <w:rsid w:val="007D7F59"/>
    <w:rsid w:val="007E49E8"/>
    <w:rsid w:val="007E5984"/>
    <w:rsid w:val="007E5992"/>
    <w:rsid w:val="007E741F"/>
    <w:rsid w:val="007F1133"/>
    <w:rsid w:val="007F5C2F"/>
    <w:rsid w:val="007F63ED"/>
    <w:rsid w:val="0080153B"/>
    <w:rsid w:val="00801AC2"/>
    <w:rsid w:val="00805163"/>
    <w:rsid w:val="00806964"/>
    <w:rsid w:val="00811274"/>
    <w:rsid w:val="00817E89"/>
    <w:rsid w:val="008206BF"/>
    <w:rsid w:val="008216E0"/>
    <w:rsid w:val="00824EBC"/>
    <w:rsid w:val="00827748"/>
    <w:rsid w:val="00831537"/>
    <w:rsid w:val="00832FF6"/>
    <w:rsid w:val="00834C17"/>
    <w:rsid w:val="00836014"/>
    <w:rsid w:val="0084007E"/>
    <w:rsid w:val="00841287"/>
    <w:rsid w:val="00852AF2"/>
    <w:rsid w:val="00853FE2"/>
    <w:rsid w:val="00861DB2"/>
    <w:rsid w:val="00862443"/>
    <w:rsid w:val="00863EAF"/>
    <w:rsid w:val="00866190"/>
    <w:rsid w:val="00866431"/>
    <w:rsid w:val="0086651E"/>
    <w:rsid w:val="00866EC1"/>
    <w:rsid w:val="0086793F"/>
    <w:rsid w:val="008714A1"/>
    <w:rsid w:val="008732A6"/>
    <w:rsid w:val="00873E5E"/>
    <w:rsid w:val="008836C7"/>
    <w:rsid w:val="00885986"/>
    <w:rsid w:val="008863D3"/>
    <w:rsid w:val="00890FCB"/>
    <w:rsid w:val="00893DD1"/>
    <w:rsid w:val="00893E53"/>
    <w:rsid w:val="008948A5"/>
    <w:rsid w:val="00896EC9"/>
    <w:rsid w:val="00897B49"/>
    <w:rsid w:val="008A5602"/>
    <w:rsid w:val="008B02BD"/>
    <w:rsid w:val="008B1353"/>
    <w:rsid w:val="008B417F"/>
    <w:rsid w:val="008B76E8"/>
    <w:rsid w:val="008C50D0"/>
    <w:rsid w:val="008C6699"/>
    <w:rsid w:val="008C6F3F"/>
    <w:rsid w:val="008D2ED0"/>
    <w:rsid w:val="008D329C"/>
    <w:rsid w:val="008D6150"/>
    <w:rsid w:val="008D646C"/>
    <w:rsid w:val="008E064F"/>
    <w:rsid w:val="008E19A4"/>
    <w:rsid w:val="008E1AC3"/>
    <w:rsid w:val="008E4DD4"/>
    <w:rsid w:val="008E6448"/>
    <w:rsid w:val="008F0A2E"/>
    <w:rsid w:val="008F19DC"/>
    <w:rsid w:val="008F1F12"/>
    <w:rsid w:val="008F29DF"/>
    <w:rsid w:val="008F4960"/>
    <w:rsid w:val="008F5DBC"/>
    <w:rsid w:val="008F6080"/>
    <w:rsid w:val="0090601F"/>
    <w:rsid w:val="00907E69"/>
    <w:rsid w:val="009128B7"/>
    <w:rsid w:val="00920CD4"/>
    <w:rsid w:val="0092427B"/>
    <w:rsid w:val="009261C1"/>
    <w:rsid w:val="009352E8"/>
    <w:rsid w:val="00936712"/>
    <w:rsid w:val="009426A9"/>
    <w:rsid w:val="009427C0"/>
    <w:rsid w:val="009428DD"/>
    <w:rsid w:val="009433C7"/>
    <w:rsid w:val="00943F6A"/>
    <w:rsid w:val="009477D8"/>
    <w:rsid w:val="009544AB"/>
    <w:rsid w:val="009551D8"/>
    <w:rsid w:val="00956010"/>
    <w:rsid w:val="00957E2A"/>
    <w:rsid w:val="009627CD"/>
    <w:rsid w:val="0096286D"/>
    <w:rsid w:val="00963EA2"/>
    <w:rsid w:val="00964540"/>
    <w:rsid w:val="009656DB"/>
    <w:rsid w:val="009669B8"/>
    <w:rsid w:val="00966DC4"/>
    <w:rsid w:val="00967706"/>
    <w:rsid w:val="00970C57"/>
    <w:rsid w:val="009716CE"/>
    <w:rsid w:val="009800A2"/>
    <w:rsid w:val="00982510"/>
    <w:rsid w:val="00984BA9"/>
    <w:rsid w:val="00985ABF"/>
    <w:rsid w:val="00986224"/>
    <w:rsid w:val="00986EC4"/>
    <w:rsid w:val="009969DE"/>
    <w:rsid w:val="009A0A9F"/>
    <w:rsid w:val="009A412E"/>
    <w:rsid w:val="009A535B"/>
    <w:rsid w:val="009A56A7"/>
    <w:rsid w:val="009A5E7E"/>
    <w:rsid w:val="009A6B53"/>
    <w:rsid w:val="009B0062"/>
    <w:rsid w:val="009B301E"/>
    <w:rsid w:val="009B352E"/>
    <w:rsid w:val="009C034E"/>
    <w:rsid w:val="009C18F9"/>
    <w:rsid w:val="009C4F3A"/>
    <w:rsid w:val="009C5D34"/>
    <w:rsid w:val="009D1284"/>
    <w:rsid w:val="009D3B18"/>
    <w:rsid w:val="009D41AD"/>
    <w:rsid w:val="009D4642"/>
    <w:rsid w:val="009D68E6"/>
    <w:rsid w:val="009D6AE0"/>
    <w:rsid w:val="009E12BD"/>
    <w:rsid w:val="009E1308"/>
    <w:rsid w:val="009E315C"/>
    <w:rsid w:val="009E4BBB"/>
    <w:rsid w:val="009E5162"/>
    <w:rsid w:val="009E5258"/>
    <w:rsid w:val="009F041B"/>
    <w:rsid w:val="009F2A95"/>
    <w:rsid w:val="009F34DE"/>
    <w:rsid w:val="009F67B0"/>
    <w:rsid w:val="00A0187F"/>
    <w:rsid w:val="00A03137"/>
    <w:rsid w:val="00A0386A"/>
    <w:rsid w:val="00A057B2"/>
    <w:rsid w:val="00A123D8"/>
    <w:rsid w:val="00A13609"/>
    <w:rsid w:val="00A157E0"/>
    <w:rsid w:val="00A20FD6"/>
    <w:rsid w:val="00A249B7"/>
    <w:rsid w:val="00A25DF3"/>
    <w:rsid w:val="00A31C30"/>
    <w:rsid w:val="00A33F36"/>
    <w:rsid w:val="00A3523A"/>
    <w:rsid w:val="00A36086"/>
    <w:rsid w:val="00A36857"/>
    <w:rsid w:val="00A40899"/>
    <w:rsid w:val="00A4276D"/>
    <w:rsid w:val="00A42A0D"/>
    <w:rsid w:val="00A51646"/>
    <w:rsid w:val="00A51EF5"/>
    <w:rsid w:val="00A5432C"/>
    <w:rsid w:val="00A55836"/>
    <w:rsid w:val="00A567F4"/>
    <w:rsid w:val="00A60616"/>
    <w:rsid w:val="00A64A91"/>
    <w:rsid w:val="00A67FA0"/>
    <w:rsid w:val="00A75BFB"/>
    <w:rsid w:val="00A81833"/>
    <w:rsid w:val="00A81876"/>
    <w:rsid w:val="00A835BF"/>
    <w:rsid w:val="00A8516E"/>
    <w:rsid w:val="00A8663D"/>
    <w:rsid w:val="00A91960"/>
    <w:rsid w:val="00A929DE"/>
    <w:rsid w:val="00A973B7"/>
    <w:rsid w:val="00AA1903"/>
    <w:rsid w:val="00AA2E39"/>
    <w:rsid w:val="00AA2FE7"/>
    <w:rsid w:val="00AA5816"/>
    <w:rsid w:val="00AA5911"/>
    <w:rsid w:val="00AA6E6A"/>
    <w:rsid w:val="00AB1EFC"/>
    <w:rsid w:val="00AB3130"/>
    <w:rsid w:val="00AB3798"/>
    <w:rsid w:val="00AB638F"/>
    <w:rsid w:val="00AB7C25"/>
    <w:rsid w:val="00AC39D9"/>
    <w:rsid w:val="00AC4B0A"/>
    <w:rsid w:val="00AC63EB"/>
    <w:rsid w:val="00AC7559"/>
    <w:rsid w:val="00AC7AE2"/>
    <w:rsid w:val="00AD0573"/>
    <w:rsid w:val="00AD064A"/>
    <w:rsid w:val="00AD0712"/>
    <w:rsid w:val="00AD1CC7"/>
    <w:rsid w:val="00AD2306"/>
    <w:rsid w:val="00AD2FB7"/>
    <w:rsid w:val="00AD3795"/>
    <w:rsid w:val="00AD3D6B"/>
    <w:rsid w:val="00AE1A2E"/>
    <w:rsid w:val="00AE1F3B"/>
    <w:rsid w:val="00AE211E"/>
    <w:rsid w:val="00AE298D"/>
    <w:rsid w:val="00AE4B5E"/>
    <w:rsid w:val="00AF19C7"/>
    <w:rsid w:val="00AF1C41"/>
    <w:rsid w:val="00AF1F67"/>
    <w:rsid w:val="00AF3489"/>
    <w:rsid w:val="00AF4C27"/>
    <w:rsid w:val="00AF4E68"/>
    <w:rsid w:val="00AF612B"/>
    <w:rsid w:val="00AF6BDD"/>
    <w:rsid w:val="00B023CB"/>
    <w:rsid w:val="00B029AB"/>
    <w:rsid w:val="00B03CA8"/>
    <w:rsid w:val="00B0787E"/>
    <w:rsid w:val="00B104ED"/>
    <w:rsid w:val="00B10E39"/>
    <w:rsid w:val="00B110F2"/>
    <w:rsid w:val="00B12C30"/>
    <w:rsid w:val="00B12F46"/>
    <w:rsid w:val="00B13B01"/>
    <w:rsid w:val="00B144B6"/>
    <w:rsid w:val="00B17D42"/>
    <w:rsid w:val="00B208BA"/>
    <w:rsid w:val="00B210F9"/>
    <w:rsid w:val="00B25DA4"/>
    <w:rsid w:val="00B27810"/>
    <w:rsid w:val="00B32E5C"/>
    <w:rsid w:val="00B33463"/>
    <w:rsid w:val="00B40E5A"/>
    <w:rsid w:val="00B467A7"/>
    <w:rsid w:val="00B51766"/>
    <w:rsid w:val="00B57333"/>
    <w:rsid w:val="00B65111"/>
    <w:rsid w:val="00B67321"/>
    <w:rsid w:val="00B77102"/>
    <w:rsid w:val="00B777E4"/>
    <w:rsid w:val="00B77850"/>
    <w:rsid w:val="00B84BE0"/>
    <w:rsid w:val="00B8528D"/>
    <w:rsid w:val="00B85C14"/>
    <w:rsid w:val="00B934FD"/>
    <w:rsid w:val="00B950D2"/>
    <w:rsid w:val="00B96178"/>
    <w:rsid w:val="00B967CF"/>
    <w:rsid w:val="00B9716A"/>
    <w:rsid w:val="00BA49D9"/>
    <w:rsid w:val="00BB0186"/>
    <w:rsid w:val="00BB10EC"/>
    <w:rsid w:val="00BB2BDE"/>
    <w:rsid w:val="00BB6AF1"/>
    <w:rsid w:val="00BB7B37"/>
    <w:rsid w:val="00BC2661"/>
    <w:rsid w:val="00BC3762"/>
    <w:rsid w:val="00BC69A3"/>
    <w:rsid w:val="00BD40A0"/>
    <w:rsid w:val="00BD47BA"/>
    <w:rsid w:val="00BD5812"/>
    <w:rsid w:val="00BD7418"/>
    <w:rsid w:val="00BE2970"/>
    <w:rsid w:val="00BE3C04"/>
    <w:rsid w:val="00BE4994"/>
    <w:rsid w:val="00BE7861"/>
    <w:rsid w:val="00BF032E"/>
    <w:rsid w:val="00BF4657"/>
    <w:rsid w:val="00BF5812"/>
    <w:rsid w:val="00BF7CDF"/>
    <w:rsid w:val="00C01ABF"/>
    <w:rsid w:val="00C04BBE"/>
    <w:rsid w:val="00C07718"/>
    <w:rsid w:val="00C1115B"/>
    <w:rsid w:val="00C1129C"/>
    <w:rsid w:val="00C12104"/>
    <w:rsid w:val="00C14ACE"/>
    <w:rsid w:val="00C173E8"/>
    <w:rsid w:val="00C17BC3"/>
    <w:rsid w:val="00C23278"/>
    <w:rsid w:val="00C27B89"/>
    <w:rsid w:val="00C3214C"/>
    <w:rsid w:val="00C356DF"/>
    <w:rsid w:val="00C35C19"/>
    <w:rsid w:val="00C35C57"/>
    <w:rsid w:val="00C36948"/>
    <w:rsid w:val="00C36FD9"/>
    <w:rsid w:val="00C37C97"/>
    <w:rsid w:val="00C404F1"/>
    <w:rsid w:val="00C454DF"/>
    <w:rsid w:val="00C470A5"/>
    <w:rsid w:val="00C47483"/>
    <w:rsid w:val="00C50E56"/>
    <w:rsid w:val="00C54863"/>
    <w:rsid w:val="00C55355"/>
    <w:rsid w:val="00C56B1F"/>
    <w:rsid w:val="00C57BC9"/>
    <w:rsid w:val="00C60173"/>
    <w:rsid w:val="00C601CF"/>
    <w:rsid w:val="00C62852"/>
    <w:rsid w:val="00C65802"/>
    <w:rsid w:val="00C65817"/>
    <w:rsid w:val="00C663F4"/>
    <w:rsid w:val="00C72A85"/>
    <w:rsid w:val="00C72AD2"/>
    <w:rsid w:val="00C77570"/>
    <w:rsid w:val="00C7798E"/>
    <w:rsid w:val="00C80A0F"/>
    <w:rsid w:val="00C8268A"/>
    <w:rsid w:val="00C8400C"/>
    <w:rsid w:val="00C84773"/>
    <w:rsid w:val="00C86C03"/>
    <w:rsid w:val="00C86E02"/>
    <w:rsid w:val="00C87143"/>
    <w:rsid w:val="00C92981"/>
    <w:rsid w:val="00C96438"/>
    <w:rsid w:val="00CA1C0E"/>
    <w:rsid w:val="00CA20EB"/>
    <w:rsid w:val="00CA2745"/>
    <w:rsid w:val="00CA3C4A"/>
    <w:rsid w:val="00CA431A"/>
    <w:rsid w:val="00CA6682"/>
    <w:rsid w:val="00CA6FF1"/>
    <w:rsid w:val="00CA7D93"/>
    <w:rsid w:val="00CB0865"/>
    <w:rsid w:val="00CB4409"/>
    <w:rsid w:val="00CB4B45"/>
    <w:rsid w:val="00CB7194"/>
    <w:rsid w:val="00CC2B49"/>
    <w:rsid w:val="00CC2EC8"/>
    <w:rsid w:val="00CC3966"/>
    <w:rsid w:val="00CC4370"/>
    <w:rsid w:val="00CC6399"/>
    <w:rsid w:val="00CC6A04"/>
    <w:rsid w:val="00CC7276"/>
    <w:rsid w:val="00CC7F4E"/>
    <w:rsid w:val="00CD124D"/>
    <w:rsid w:val="00CD4224"/>
    <w:rsid w:val="00CD653B"/>
    <w:rsid w:val="00CE1BA1"/>
    <w:rsid w:val="00CE4065"/>
    <w:rsid w:val="00CE75C3"/>
    <w:rsid w:val="00CF07FB"/>
    <w:rsid w:val="00CF5555"/>
    <w:rsid w:val="00CF68E0"/>
    <w:rsid w:val="00D0599D"/>
    <w:rsid w:val="00D14B32"/>
    <w:rsid w:val="00D2476A"/>
    <w:rsid w:val="00D27A2E"/>
    <w:rsid w:val="00D30386"/>
    <w:rsid w:val="00D3335B"/>
    <w:rsid w:val="00D33F2F"/>
    <w:rsid w:val="00D34A02"/>
    <w:rsid w:val="00D34F35"/>
    <w:rsid w:val="00D35780"/>
    <w:rsid w:val="00D401B1"/>
    <w:rsid w:val="00D403E4"/>
    <w:rsid w:val="00D41CBA"/>
    <w:rsid w:val="00D42229"/>
    <w:rsid w:val="00D43D48"/>
    <w:rsid w:val="00D43DA7"/>
    <w:rsid w:val="00D4666D"/>
    <w:rsid w:val="00D47F45"/>
    <w:rsid w:val="00D5542C"/>
    <w:rsid w:val="00D554EB"/>
    <w:rsid w:val="00D56593"/>
    <w:rsid w:val="00D57F32"/>
    <w:rsid w:val="00D62A44"/>
    <w:rsid w:val="00D63EDB"/>
    <w:rsid w:val="00D65301"/>
    <w:rsid w:val="00D6636F"/>
    <w:rsid w:val="00D71FBC"/>
    <w:rsid w:val="00D73295"/>
    <w:rsid w:val="00D73E76"/>
    <w:rsid w:val="00D75A2E"/>
    <w:rsid w:val="00D80B35"/>
    <w:rsid w:val="00D81EF5"/>
    <w:rsid w:val="00D8280A"/>
    <w:rsid w:val="00D842D5"/>
    <w:rsid w:val="00D872A1"/>
    <w:rsid w:val="00D90849"/>
    <w:rsid w:val="00D93FF6"/>
    <w:rsid w:val="00D96685"/>
    <w:rsid w:val="00D972F8"/>
    <w:rsid w:val="00DA0E3C"/>
    <w:rsid w:val="00DA0E6F"/>
    <w:rsid w:val="00DA678C"/>
    <w:rsid w:val="00DA7F51"/>
    <w:rsid w:val="00DB0447"/>
    <w:rsid w:val="00DB2884"/>
    <w:rsid w:val="00DB30F5"/>
    <w:rsid w:val="00DB6AC1"/>
    <w:rsid w:val="00DC0B99"/>
    <w:rsid w:val="00DC289F"/>
    <w:rsid w:val="00DC3069"/>
    <w:rsid w:val="00DC7CD1"/>
    <w:rsid w:val="00DD762C"/>
    <w:rsid w:val="00DE1686"/>
    <w:rsid w:val="00DE524D"/>
    <w:rsid w:val="00DE7193"/>
    <w:rsid w:val="00DF2093"/>
    <w:rsid w:val="00DF29A0"/>
    <w:rsid w:val="00DF30DC"/>
    <w:rsid w:val="00DF3219"/>
    <w:rsid w:val="00DF38F6"/>
    <w:rsid w:val="00DF5047"/>
    <w:rsid w:val="00DF66BF"/>
    <w:rsid w:val="00DF7E54"/>
    <w:rsid w:val="00E02CF5"/>
    <w:rsid w:val="00E05F1B"/>
    <w:rsid w:val="00E11110"/>
    <w:rsid w:val="00E16808"/>
    <w:rsid w:val="00E17823"/>
    <w:rsid w:val="00E21254"/>
    <w:rsid w:val="00E21468"/>
    <w:rsid w:val="00E22195"/>
    <w:rsid w:val="00E2259D"/>
    <w:rsid w:val="00E25AC5"/>
    <w:rsid w:val="00E30DD7"/>
    <w:rsid w:val="00E31B4F"/>
    <w:rsid w:val="00E3221B"/>
    <w:rsid w:val="00E32582"/>
    <w:rsid w:val="00E32780"/>
    <w:rsid w:val="00E342A2"/>
    <w:rsid w:val="00E34474"/>
    <w:rsid w:val="00E40050"/>
    <w:rsid w:val="00E41D3E"/>
    <w:rsid w:val="00E44964"/>
    <w:rsid w:val="00E465DE"/>
    <w:rsid w:val="00E47DE3"/>
    <w:rsid w:val="00E50A7D"/>
    <w:rsid w:val="00E54204"/>
    <w:rsid w:val="00E5455E"/>
    <w:rsid w:val="00E54AA4"/>
    <w:rsid w:val="00E57CE7"/>
    <w:rsid w:val="00E6223A"/>
    <w:rsid w:val="00E6378D"/>
    <w:rsid w:val="00E64ABD"/>
    <w:rsid w:val="00E66125"/>
    <w:rsid w:val="00E66408"/>
    <w:rsid w:val="00E665A4"/>
    <w:rsid w:val="00E75327"/>
    <w:rsid w:val="00E771BE"/>
    <w:rsid w:val="00E8257A"/>
    <w:rsid w:val="00E82902"/>
    <w:rsid w:val="00E8302F"/>
    <w:rsid w:val="00E858D0"/>
    <w:rsid w:val="00E8798B"/>
    <w:rsid w:val="00E94238"/>
    <w:rsid w:val="00E9716D"/>
    <w:rsid w:val="00EA0E3B"/>
    <w:rsid w:val="00EA1666"/>
    <w:rsid w:val="00EA3EAF"/>
    <w:rsid w:val="00EA7EB1"/>
    <w:rsid w:val="00EB0118"/>
    <w:rsid w:val="00EB4FD6"/>
    <w:rsid w:val="00EB68B3"/>
    <w:rsid w:val="00EB6C54"/>
    <w:rsid w:val="00EC15F7"/>
    <w:rsid w:val="00EC304E"/>
    <w:rsid w:val="00EC39D7"/>
    <w:rsid w:val="00EC3E93"/>
    <w:rsid w:val="00EC4CA7"/>
    <w:rsid w:val="00EC5FD2"/>
    <w:rsid w:val="00EC6221"/>
    <w:rsid w:val="00EC7DC1"/>
    <w:rsid w:val="00ED0D47"/>
    <w:rsid w:val="00ED18D8"/>
    <w:rsid w:val="00ED493D"/>
    <w:rsid w:val="00ED50AE"/>
    <w:rsid w:val="00ED5BFA"/>
    <w:rsid w:val="00ED6477"/>
    <w:rsid w:val="00EE05FB"/>
    <w:rsid w:val="00EE561F"/>
    <w:rsid w:val="00EF157C"/>
    <w:rsid w:val="00EF1898"/>
    <w:rsid w:val="00EF69C7"/>
    <w:rsid w:val="00F02247"/>
    <w:rsid w:val="00F0510F"/>
    <w:rsid w:val="00F05128"/>
    <w:rsid w:val="00F05B8D"/>
    <w:rsid w:val="00F077D3"/>
    <w:rsid w:val="00F1063E"/>
    <w:rsid w:val="00F13340"/>
    <w:rsid w:val="00F134C4"/>
    <w:rsid w:val="00F14758"/>
    <w:rsid w:val="00F16007"/>
    <w:rsid w:val="00F24082"/>
    <w:rsid w:val="00F248D9"/>
    <w:rsid w:val="00F24990"/>
    <w:rsid w:val="00F2547E"/>
    <w:rsid w:val="00F25689"/>
    <w:rsid w:val="00F257A1"/>
    <w:rsid w:val="00F25810"/>
    <w:rsid w:val="00F264FE"/>
    <w:rsid w:val="00F278CA"/>
    <w:rsid w:val="00F302E1"/>
    <w:rsid w:val="00F32E56"/>
    <w:rsid w:val="00F371F9"/>
    <w:rsid w:val="00F41416"/>
    <w:rsid w:val="00F42E4C"/>
    <w:rsid w:val="00F510CB"/>
    <w:rsid w:val="00F5353E"/>
    <w:rsid w:val="00F54FA5"/>
    <w:rsid w:val="00F560E0"/>
    <w:rsid w:val="00F6486D"/>
    <w:rsid w:val="00F6587F"/>
    <w:rsid w:val="00F673C2"/>
    <w:rsid w:val="00F71A94"/>
    <w:rsid w:val="00F760CB"/>
    <w:rsid w:val="00F80188"/>
    <w:rsid w:val="00F813EA"/>
    <w:rsid w:val="00F83D13"/>
    <w:rsid w:val="00F8501D"/>
    <w:rsid w:val="00F85750"/>
    <w:rsid w:val="00F86C19"/>
    <w:rsid w:val="00F91E25"/>
    <w:rsid w:val="00F927CD"/>
    <w:rsid w:val="00F93F35"/>
    <w:rsid w:val="00F9525B"/>
    <w:rsid w:val="00F96434"/>
    <w:rsid w:val="00FA0655"/>
    <w:rsid w:val="00FA17BB"/>
    <w:rsid w:val="00FA7513"/>
    <w:rsid w:val="00FB4881"/>
    <w:rsid w:val="00FC03A3"/>
    <w:rsid w:val="00FC0EEE"/>
    <w:rsid w:val="00FC2D00"/>
    <w:rsid w:val="00FC3446"/>
    <w:rsid w:val="00FC3694"/>
    <w:rsid w:val="00FC3793"/>
    <w:rsid w:val="00FC3FDF"/>
    <w:rsid w:val="00FC57A5"/>
    <w:rsid w:val="00FC5D21"/>
    <w:rsid w:val="00FD0F2D"/>
    <w:rsid w:val="00FD1A92"/>
    <w:rsid w:val="00FD2B52"/>
    <w:rsid w:val="00FD35CD"/>
    <w:rsid w:val="00FD5451"/>
    <w:rsid w:val="00FD564B"/>
    <w:rsid w:val="00FE2986"/>
    <w:rsid w:val="00FE513E"/>
    <w:rsid w:val="00FE5E16"/>
    <w:rsid w:val="00FE74E0"/>
    <w:rsid w:val="00FF1594"/>
    <w:rsid w:val="00FF28A4"/>
    <w:rsid w:val="00FF4837"/>
    <w:rsid w:val="00FF51C5"/>
    <w:rsid w:val="00FF63E6"/>
    <w:rsid w:val="00FF7887"/>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8231D"/>
  <w15:chartTrackingRefBased/>
  <w15:docId w15:val="{45718A81-2028-4805-8121-633A3ECE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lang w:val="en-US" w:eastAsia="en-US" w:bidi="ar-SA"/>
      </w:rPr>
    </w:rPrDefault>
    <w:pPrDefault>
      <w:pPr>
        <w:spacing w:after="160" w:line="480"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ACB"/>
    <w:pPr>
      <w:spacing w:after="0"/>
    </w:pPr>
    <w:rPr>
      <w:szCs w:val="22"/>
    </w:rPr>
  </w:style>
  <w:style w:type="paragraph" w:styleId="Heading1">
    <w:name w:val="heading 1"/>
    <w:basedOn w:val="Normal"/>
    <w:next w:val="Normal"/>
    <w:link w:val="Heading1Char"/>
    <w:uiPriority w:val="9"/>
    <w:qFormat/>
    <w:rsid w:val="00963E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1903"/>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6ACB"/>
  </w:style>
  <w:style w:type="paragraph" w:styleId="Header">
    <w:name w:val="header"/>
    <w:basedOn w:val="Normal"/>
    <w:link w:val="HeaderChar"/>
    <w:uiPriority w:val="99"/>
    <w:unhideWhenUsed/>
    <w:rsid w:val="00AA1903"/>
    <w:pPr>
      <w:tabs>
        <w:tab w:val="center" w:pos="4680"/>
        <w:tab w:val="right" w:pos="9360"/>
      </w:tabs>
      <w:spacing w:line="240" w:lineRule="auto"/>
    </w:pPr>
  </w:style>
  <w:style w:type="character" w:customStyle="1" w:styleId="HeaderChar">
    <w:name w:val="Header Char"/>
    <w:basedOn w:val="DefaultParagraphFont"/>
    <w:link w:val="Header"/>
    <w:uiPriority w:val="99"/>
    <w:rsid w:val="00AA1903"/>
    <w:rPr>
      <w:szCs w:val="22"/>
    </w:rPr>
  </w:style>
  <w:style w:type="paragraph" w:styleId="Footer">
    <w:name w:val="footer"/>
    <w:basedOn w:val="Normal"/>
    <w:link w:val="FooterChar"/>
    <w:uiPriority w:val="99"/>
    <w:unhideWhenUsed/>
    <w:rsid w:val="00AA1903"/>
    <w:pPr>
      <w:tabs>
        <w:tab w:val="center" w:pos="4680"/>
        <w:tab w:val="right" w:pos="9360"/>
      </w:tabs>
      <w:spacing w:line="240" w:lineRule="auto"/>
    </w:pPr>
  </w:style>
  <w:style w:type="character" w:customStyle="1" w:styleId="FooterChar">
    <w:name w:val="Footer Char"/>
    <w:basedOn w:val="DefaultParagraphFont"/>
    <w:link w:val="Footer"/>
    <w:uiPriority w:val="99"/>
    <w:rsid w:val="00AA1903"/>
    <w:rPr>
      <w:szCs w:val="22"/>
    </w:rPr>
  </w:style>
  <w:style w:type="paragraph" w:styleId="FootnoteText">
    <w:name w:val="footnote text"/>
    <w:basedOn w:val="Normal"/>
    <w:link w:val="FootnoteTextChar"/>
    <w:uiPriority w:val="99"/>
    <w:semiHidden/>
    <w:unhideWhenUsed/>
    <w:rsid w:val="00AA1903"/>
    <w:pPr>
      <w:spacing w:line="240" w:lineRule="auto"/>
    </w:pPr>
    <w:rPr>
      <w:sz w:val="20"/>
      <w:szCs w:val="20"/>
    </w:rPr>
  </w:style>
  <w:style w:type="character" w:customStyle="1" w:styleId="FootnoteTextChar">
    <w:name w:val="Footnote Text Char"/>
    <w:basedOn w:val="DefaultParagraphFont"/>
    <w:link w:val="FootnoteText"/>
    <w:uiPriority w:val="99"/>
    <w:semiHidden/>
    <w:rsid w:val="00AA1903"/>
    <w:rPr>
      <w:sz w:val="20"/>
    </w:rPr>
  </w:style>
  <w:style w:type="character" w:styleId="FootnoteReference">
    <w:name w:val="footnote reference"/>
    <w:basedOn w:val="DefaultParagraphFont"/>
    <w:uiPriority w:val="99"/>
    <w:semiHidden/>
    <w:unhideWhenUsed/>
    <w:rsid w:val="00AA1903"/>
    <w:rPr>
      <w:vertAlign w:val="superscript"/>
    </w:rPr>
  </w:style>
  <w:style w:type="character" w:customStyle="1" w:styleId="Heading2Char">
    <w:name w:val="Heading 2 Char"/>
    <w:basedOn w:val="DefaultParagraphFont"/>
    <w:link w:val="Heading2"/>
    <w:uiPriority w:val="9"/>
    <w:semiHidden/>
    <w:rsid w:val="00AA1903"/>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AA1903"/>
  </w:style>
  <w:style w:type="paragraph" w:styleId="NoSpacing">
    <w:name w:val="No Spacing"/>
    <w:uiPriority w:val="1"/>
    <w:qFormat/>
    <w:rsid w:val="00AA1903"/>
    <w:pPr>
      <w:spacing w:after="0" w:line="240" w:lineRule="auto"/>
    </w:pPr>
    <w:rPr>
      <w:sz w:val="20"/>
    </w:rPr>
  </w:style>
  <w:style w:type="numbering" w:customStyle="1" w:styleId="NoList2">
    <w:name w:val="No List2"/>
    <w:next w:val="NoList"/>
    <w:uiPriority w:val="99"/>
    <w:semiHidden/>
    <w:unhideWhenUsed/>
    <w:rsid w:val="00AA1903"/>
  </w:style>
  <w:style w:type="numbering" w:customStyle="1" w:styleId="NoList3">
    <w:name w:val="No List3"/>
    <w:next w:val="NoList"/>
    <w:uiPriority w:val="99"/>
    <w:semiHidden/>
    <w:unhideWhenUsed/>
    <w:rsid w:val="00ED18D8"/>
  </w:style>
  <w:style w:type="paragraph" w:styleId="ListParagraph">
    <w:name w:val="List Paragraph"/>
    <w:basedOn w:val="Normal"/>
    <w:uiPriority w:val="34"/>
    <w:qFormat/>
    <w:rsid w:val="00ED18D8"/>
    <w:pPr>
      <w:spacing w:after="160"/>
      <w:ind w:left="720"/>
      <w:contextualSpacing/>
    </w:pPr>
    <w:rPr>
      <w:szCs w:val="20"/>
    </w:rPr>
  </w:style>
  <w:style w:type="character" w:styleId="Hyperlink">
    <w:name w:val="Hyperlink"/>
    <w:basedOn w:val="DefaultParagraphFont"/>
    <w:uiPriority w:val="99"/>
    <w:unhideWhenUsed/>
    <w:rsid w:val="00ED18D8"/>
    <w:rPr>
      <w:color w:val="0563C1" w:themeColor="hyperlink"/>
      <w:u w:val="single"/>
    </w:rPr>
  </w:style>
  <w:style w:type="table" w:styleId="TableGrid">
    <w:name w:val="Table Grid"/>
    <w:basedOn w:val="TableNormal"/>
    <w:uiPriority w:val="39"/>
    <w:rsid w:val="00410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63EA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63EA2"/>
    <w:pPr>
      <w:spacing w:line="259" w:lineRule="auto"/>
      <w:outlineLvl w:val="9"/>
    </w:pPr>
  </w:style>
  <w:style w:type="paragraph" w:styleId="TOC1">
    <w:name w:val="toc 1"/>
    <w:basedOn w:val="Normal"/>
    <w:next w:val="Normal"/>
    <w:autoRedefine/>
    <w:uiPriority w:val="39"/>
    <w:unhideWhenUsed/>
    <w:qFormat/>
    <w:rsid w:val="007B7D3B"/>
    <w:pPr>
      <w:spacing w:after="100" w:line="276" w:lineRule="auto"/>
    </w:pPr>
    <w:rPr>
      <w:rFonts w:asciiTheme="minorHAnsi" w:eastAsiaTheme="minorEastAsia" w:hAnsiTheme="minorHAnsi"/>
      <w:sz w:val="22"/>
      <w:lang w:eastAsia="ja-JP"/>
    </w:rPr>
  </w:style>
  <w:style w:type="character" w:styleId="CommentReference">
    <w:name w:val="annotation reference"/>
    <w:basedOn w:val="DefaultParagraphFont"/>
    <w:uiPriority w:val="99"/>
    <w:semiHidden/>
    <w:unhideWhenUsed/>
    <w:rsid w:val="009C5D34"/>
    <w:rPr>
      <w:sz w:val="18"/>
      <w:szCs w:val="18"/>
    </w:rPr>
  </w:style>
  <w:style w:type="paragraph" w:styleId="CommentText">
    <w:name w:val="annotation text"/>
    <w:basedOn w:val="Normal"/>
    <w:link w:val="CommentTextChar"/>
    <w:uiPriority w:val="99"/>
    <w:semiHidden/>
    <w:unhideWhenUsed/>
    <w:rsid w:val="009C5D34"/>
    <w:pPr>
      <w:spacing w:line="240" w:lineRule="auto"/>
    </w:pPr>
    <w:rPr>
      <w:szCs w:val="24"/>
    </w:rPr>
  </w:style>
  <w:style w:type="character" w:customStyle="1" w:styleId="CommentTextChar">
    <w:name w:val="Comment Text Char"/>
    <w:basedOn w:val="DefaultParagraphFont"/>
    <w:link w:val="CommentText"/>
    <w:uiPriority w:val="99"/>
    <w:semiHidden/>
    <w:rsid w:val="009C5D34"/>
    <w:rPr>
      <w:szCs w:val="24"/>
    </w:rPr>
  </w:style>
  <w:style w:type="paragraph" w:styleId="CommentSubject">
    <w:name w:val="annotation subject"/>
    <w:basedOn w:val="CommentText"/>
    <w:next w:val="CommentText"/>
    <w:link w:val="CommentSubjectChar"/>
    <w:uiPriority w:val="99"/>
    <w:semiHidden/>
    <w:unhideWhenUsed/>
    <w:rsid w:val="009C5D34"/>
    <w:rPr>
      <w:b/>
      <w:bCs/>
      <w:sz w:val="20"/>
      <w:szCs w:val="20"/>
    </w:rPr>
  </w:style>
  <w:style w:type="character" w:customStyle="1" w:styleId="CommentSubjectChar">
    <w:name w:val="Comment Subject Char"/>
    <w:basedOn w:val="CommentTextChar"/>
    <w:link w:val="CommentSubject"/>
    <w:uiPriority w:val="99"/>
    <w:semiHidden/>
    <w:rsid w:val="009C5D34"/>
    <w:rPr>
      <w:b/>
      <w:bCs/>
      <w:sz w:val="20"/>
      <w:szCs w:val="24"/>
    </w:rPr>
  </w:style>
  <w:style w:type="paragraph" w:styleId="BalloonText">
    <w:name w:val="Balloon Text"/>
    <w:basedOn w:val="Normal"/>
    <w:link w:val="BalloonTextChar"/>
    <w:uiPriority w:val="99"/>
    <w:semiHidden/>
    <w:unhideWhenUsed/>
    <w:rsid w:val="009C5D34"/>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C5D34"/>
    <w:rPr>
      <w:rFonts w:cs="Times New Roman"/>
      <w:sz w:val="18"/>
      <w:szCs w:val="18"/>
    </w:rPr>
  </w:style>
  <w:style w:type="paragraph" w:styleId="DocumentMap">
    <w:name w:val="Document Map"/>
    <w:basedOn w:val="Normal"/>
    <w:link w:val="DocumentMapChar"/>
    <w:uiPriority w:val="99"/>
    <w:semiHidden/>
    <w:unhideWhenUsed/>
    <w:rsid w:val="00510D07"/>
    <w:pPr>
      <w:spacing w:line="240" w:lineRule="auto"/>
    </w:pPr>
    <w:rPr>
      <w:rFonts w:cs="Times New Roman"/>
      <w:szCs w:val="24"/>
    </w:rPr>
  </w:style>
  <w:style w:type="character" w:customStyle="1" w:styleId="DocumentMapChar">
    <w:name w:val="Document Map Char"/>
    <w:basedOn w:val="DefaultParagraphFont"/>
    <w:link w:val="DocumentMap"/>
    <w:uiPriority w:val="99"/>
    <w:semiHidden/>
    <w:rsid w:val="00510D0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13515">
      <w:bodyDiv w:val="1"/>
      <w:marLeft w:val="0"/>
      <w:marRight w:val="0"/>
      <w:marTop w:val="0"/>
      <w:marBottom w:val="0"/>
      <w:divBdr>
        <w:top w:val="none" w:sz="0" w:space="0" w:color="auto"/>
        <w:left w:val="none" w:sz="0" w:space="0" w:color="auto"/>
        <w:bottom w:val="none" w:sz="0" w:space="0" w:color="auto"/>
        <w:right w:val="none" w:sz="0" w:space="0" w:color="auto"/>
      </w:divBdr>
    </w:div>
    <w:div w:id="17787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345D517-0834-2F49-81F9-069CA649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4741</TotalTime>
  <Pages>70</Pages>
  <Words>31475</Words>
  <Characters>179411</Characters>
  <Application>Microsoft Macintosh Word</Application>
  <DocSecurity>0</DocSecurity>
  <Lines>1495</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Grullon</dc:creator>
  <cp:keywords/>
  <dc:description/>
  <cp:lastModifiedBy>Brandie Thomas</cp:lastModifiedBy>
  <cp:revision>372</cp:revision>
  <dcterms:created xsi:type="dcterms:W3CDTF">2016-03-08T20:41:00Z</dcterms:created>
  <dcterms:modified xsi:type="dcterms:W3CDTF">2016-05-02T13:20:00Z</dcterms:modified>
</cp:coreProperties>
</file>